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A7" w:rsidRDefault="00445165">
      <w:r>
        <w:tab/>
        <w:t>WEEK 3 QUIZ</w:t>
      </w:r>
    </w:p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01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The time period for classifying a liability as current is one year or the operating cycle, whichever is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1C63BF68" wp14:editId="2FDE07CF">
            <wp:extent cx="9525" cy="9525"/>
            <wp:effectExtent l="0" t="0" r="0" b="0"/>
            <wp:docPr id="41" name="amarker_res_Ch_10_rtf_1_0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1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91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possible</w:t>
            </w:r>
            <w:proofErr w:type="gramEnd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35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3" type="#_x0000_t75" style="width:20.25pt;height:18pt" o:ole="">
                  <v:imagedata r:id="rId5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shorter</w:t>
            </w:r>
            <w:proofErr w:type="gramEnd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97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2" type="#_x0000_t75" style="width:20.25pt;height:18pt" o:ole="">
                  <v:imagedata r:id="rId5" o:title=""/>
                </v:shape>
                <w:control r:id="rId8" w:name="DefaultOcxName2" w:shapeid="_x0000_i1042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probable</w:t>
            </w:r>
            <w:proofErr w:type="gramEnd"/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89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1" type="#_x0000_t75" style="width:20.25pt;height:18pt" o:ole="">
                  <v:imagedata r:id="rId5" o:title=""/>
                </v:shape>
                <w:control r:id="rId9" w:name="DefaultOcxName3" w:shapeid="_x0000_i1041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longer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05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 xml:space="preserve">Which one of the following is </w:t>
      </w:r>
      <w:r w:rsidRPr="0044516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44516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a typical current liability?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" name="Picture 1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5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3446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20.25pt;height:18pt" o:ole="">
                  <v:imagedata r:id="rId5" o:title=""/>
                </v:shape>
                <w:control r:id="rId10" w:name="DefaultOcxName4" w:shapeid="_x0000_i1067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maturities of long-term debt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60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20.25pt;height:18pt" o:ole="">
                  <v:imagedata r:id="rId5" o:title=""/>
                </v:shape>
                <w:control r:id="rId11" w:name="DefaultOcxName11" w:shapeid="_x0000_i1066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payable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830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20.25pt;height:18pt" o:ole="">
                  <v:imagedata r:id="rId5" o:title=""/>
                </v:shape>
                <w:control r:id="rId12" w:name="DefaultOcxName21" w:shapeid="_x0000_i1065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Mortgages payable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60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20.25pt;height:18pt" o:ole="">
                  <v:imagedata r:id="rId5" o:title=""/>
                </v:shape>
                <w:control r:id="rId13" w:name="DefaultOcxName31" w:shapeid="_x0000_i1064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Salaries payable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10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proofErr w:type="spellStart"/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Buttner</w:t>
      </w:r>
      <w:proofErr w:type="spellEnd"/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 borrows $88,500 on September 1, 2017, from Harrington State Bank by signing an $88,500, 12%, one-year note. How much is accrued interest at December 31, 2017?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2" name="Picture 2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10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7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0" type="#_x0000_t75" style="width:20.25pt;height:18pt" o:ole="">
                  <v:imagedata r:id="rId5" o:title=""/>
                </v:shape>
                <w:control r:id="rId14" w:name="DefaultOcxName5" w:shapeid="_x0000_i1090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$10,620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58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9" type="#_x0000_t75" style="width:20.25pt;height:18pt" o:ole="">
                  <v:imagedata r:id="rId5" o:title=""/>
                </v:shape>
                <w:control r:id="rId15" w:name="DefaultOcxName12" w:shapeid="_x0000_i1089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$3,540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58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8" type="#_x0000_t75" style="width:20.25pt;height:18pt" o:ole="">
                  <v:imagedata r:id="rId5" o:title=""/>
                </v:shape>
                <w:control r:id="rId16" w:name="DefaultOcxName22" w:shapeid="_x0000_i1088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$2,655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58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7" type="#_x0000_t75" style="width:20.25pt;height:18pt" o:ole="">
                  <v:imagedata r:id="rId5" o:title=""/>
                </v:shape>
                <w:control r:id="rId17" w:name="DefaultOcxName32" w:shapeid="_x0000_i1087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$4,425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25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How is the market value of a bond issuance determined?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3" name="Picture 3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25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537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3" type="#_x0000_t75" style="width:20.25pt;height:18pt" o:ole="">
                  <v:imagedata r:id="rId5" o:title=""/>
                </v:shape>
                <w:control r:id="rId18" w:name="DefaultOcxName6" w:shapeid="_x0000_i1113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By computing the present value of the interest payments.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70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2" type="#_x0000_t75" style="width:20.25pt;height:18pt" o:ole="">
                  <v:imagedata r:id="rId5" o:title=""/>
                </v:shape>
                <w:control r:id="rId19" w:name="DefaultOcxName13" w:shapeid="_x0000_i1112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By adding the face value of the principal amount to the stated value of the interest payments.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835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1" type="#_x0000_t75" style="width:20.25pt;height:18pt" o:ole="">
                  <v:imagedata r:id="rId5" o:title=""/>
                </v:shape>
                <w:control r:id="rId20" w:name="DefaultOcxName23" w:shapeid="_x0000_i1111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By adding the present value of the principal amount to the present value of the interest payments.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43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0" type="#_x0000_t75" style="width:20.25pt;height:18pt" o:ole="">
                  <v:imagedata r:id="rId5" o:title=""/>
                </v:shape>
                <w:control r:id="rId21" w:name="DefaultOcxName33" w:shapeid="_x0000_i1110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By computing the present value of the principal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30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If the contractual rate of interest is lower than the market rate of interest, bonds will sell at a premium.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4" name="Picture 4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3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529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0" type="#_x0000_t75" style="width:20.25pt;height:18pt" o:ole="">
                  <v:imagedata r:id="rId5" o:title=""/>
                </v:shape>
                <w:control r:id="rId22" w:name="DefaultOcxName7" w:shapeid="_x0000_i1130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True</w:t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582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9" type="#_x0000_t75" style="width:20.25pt;height:18pt" o:ole="">
                  <v:imagedata r:id="rId5" o:title=""/>
                </v:shape>
                <w:control r:id="rId23" w:name="DefaultOcxName14" w:shapeid="_x0000_i1129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False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35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What is the effect of amortizing a bond discount?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5" name="Picture 5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35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481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3" type="#_x0000_t75" style="width:20.25pt;height:18pt" o:ole="">
                  <v:imagedata r:id="rId5" o:title=""/>
                </v:shape>
                <w:control r:id="rId24" w:name="DefaultOcxName8" w:shapeid="_x0000_i1153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is no effect on the bond interest expense.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140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2" type="#_x0000_t75" style="width:20.25pt;height:18pt" o:ole="">
                  <v:imagedata r:id="rId5" o:title=""/>
                </v:shape>
                <w:control r:id="rId25" w:name="DefaultOcxName15" w:shapeid="_x0000_i1152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It increases the carrying value of the bonds.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230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1" type="#_x0000_t75" style="width:20.25pt;height:18pt" o:ole="">
                  <v:imagedata r:id="rId5" o:title=""/>
                </v:shape>
                <w:control r:id="rId26" w:name="DefaultOcxName24" w:shapeid="_x0000_i1151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It decreases the maturity value of the bonds.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3306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0" type="#_x0000_t75" style="width:20.25pt;height:18pt" o:ole="">
                  <v:imagedata r:id="rId5" o:title=""/>
                </v:shape>
                <w:control r:id="rId27" w:name="DefaultOcxName34" w:shapeid="_x0000_i1150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It decreases bond interest expense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31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proofErr w:type="spellStart"/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Cuso</w:t>
      </w:r>
      <w:proofErr w:type="spellEnd"/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 xml:space="preserve"> Inc. issues 10-year bonds with a maturity value of $200,000. If the bonds are issued at a premium, what does this indicate?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6" name="Picture 6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31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580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6" type="#_x0000_t75" style="width:20.25pt;height:18pt" o:ole="">
                  <v:imagedata r:id="rId5" o:title=""/>
                </v:shape>
                <w:control r:id="rId28" w:name="DefaultOcxName9" w:shapeid="_x0000_i1176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market interest rate exceeds the contractual interest rate.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580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5" type="#_x0000_t75" style="width:20.25pt;height:18pt" o:ole="">
                  <v:imagedata r:id="rId5" o:title=""/>
                </v:shape>
                <w:control r:id="rId29" w:name="DefaultOcxName16" w:shapeid="_x0000_i1175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contractual interest rate exceeds the market interest rate.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015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4" type="#_x0000_t75" style="width:20.25pt;height:18pt" o:ole="">
                  <v:imagedata r:id="rId5" o:title=""/>
                </v:shape>
                <w:control r:id="rId30" w:name="DefaultOcxName25" w:shapeid="_x0000_i1174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 relationship exists between the market and contractual rates.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603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3" type="#_x0000_t75" style="width:20.25pt;height:18pt" o:ole="">
                  <v:imagedata r:id="rId5" o:title=""/>
                </v:shape>
                <w:control r:id="rId31" w:name="DefaultOcxName35" w:shapeid="_x0000_i1173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contractual interest rate and the market interest rate are the same</w:t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34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When a bond is sold at a premium, at what amount is it reported on the balance sheet?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7" name="Picture 7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34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290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9" type="#_x0000_t75" style="width:20.25pt;height:18pt" o:ole="">
                  <v:imagedata r:id="rId5" o:title=""/>
                </v:shape>
                <w:control r:id="rId32" w:name="DefaultOcxName10" w:shapeid="_x0000_i1199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Market value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438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8" type="#_x0000_t75" style="width:20.25pt;height:18pt" o:ole="">
                  <v:imagedata r:id="rId5" o:title=""/>
                </v:shape>
                <w:control r:id="rId33" w:name="DefaultOcxName17" w:shapeid="_x0000_i1198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Carrying value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475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7" type="#_x0000_t75" style="width:20.25pt;height:18pt" o:ole="">
                  <v:imagedata r:id="rId5" o:title=""/>
                </v:shape>
                <w:control r:id="rId34" w:name="DefaultOcxName26" w:shapeid="_x0000_i1197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Premium value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386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6" type="#_x0000_t75" style="width:20.25pt;height:18pt" o:ole="">
                  <v:imagedata r:id="rId5" o:title=""/>
                </v:shape>
                <w:control r:id="rId35" w:name="DefaultOcxName36" w:shapeid="_x0000_i1196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value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36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Tanner, Inc. issued a 10%, 5-year, $100,000 bond when the market rate of interest was 12%. At what value will the bond sell?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8" name="Picture 8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36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06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2" type="#_x0000_t75" style="width:20.25pt;height:18pt" o:ole="">
                  <v:imagedata r:id="rId5" o:title=""/>
                </v:shape>
                <w:control r:id="rId36" w:name="DefaultOcxName19" w:shapeid="_x0000_i1222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discount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116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1" type="#_x0000_t75" style="width:20.25pt;height:18pt" o:ole="">
                  <v:imagedata r:id="rId5" o:title=""/>
                </v:shape>
                <w:control r:id="rId37" w:name="DefaultOcxName18" w:shapeid="_x0000_i1221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premium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1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0" type="#_x0000_t75" style="width:20.25pt;height:18pt" o:ole="">
                  <v:imagedata r:id="rId5" o:title=""/>
                </v:shape>
                <w:control r:id="rId38" w:name="DefaultOcxName27" w:shapeid="_x0000_i1220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Par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081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9" type="#_x0000_t75" style="width:20.25pt;height:18pt" o:ole="">
                  <v:imagedata r:id="rId5" o:title=""/>
                </v:shape>
                <w:control r:id="rId39" w:name="DefaultOcxName37" w:shapeid="_x0000_i1219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Face value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5165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Practice Question 46</w:t>
      </w:r>
    </w:p>
    <w:p w:rsidR="00445165" w:rsidRPr="00445165" w:rsidRDefault="00445165" w:rsidP="00445165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 xml:space="preserve">Which of the following is </w:t>
      </w:r>
      <w:r w:rsidRPr="0044516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44516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t>a commonly used method of presenting current liabilities on the balance sheet?</w:t>
      </w:r>
      <w:r w:rsidRPr="0044516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516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9" name="Picture 9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res_Ch_10_rtf_46_0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2841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5" type="#_x0000_t75" style="width:20.25pt;height:18pt" o:ole="">
                  <v:imagedata r:id="rId5" o:title=""/>
                </v:shape>
                <w:control r:id="rId40" w:name="DefaultOcxName20" w:shapeid="_x0000_i1245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 order of magnitude or size.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619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4" type="#_x0000_t75" style="width:20.25pt;height:18pt" o:ole="">
                  <v:imagedata r:id="rId5" o:title=""/>
                </v:shape>
                <w:control r:id="rId41" w:name="DefaultOcxName110" w:shapeid="_x0000_i1244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Listing current debt in the order of oldest first and then chronologically.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2474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3" type="#_x0000_t75" style="width:20.25pt;height:18pt" o:ole="">
                  <v:imagedata r:id="rId5" o:title=""/>
                </v:shape>
                <w:control r:id="rId42" w:name="DefaultOcxName28" w:shapeid="_x0000_i1243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 order of their maturity.</w:t>
            </w: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</w:tc>
      </w:tr>
    </w:tbl>
    <w:p w:rsidR="00445165" w:rsidRPr="00445165" w:rsidRDefault="00445165" w:rsidP="00445165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375"/>
      </w:tblGrid>
      <w:tr w:rsidR="00445165" w:rsidRPr="00445165" w:rsidTr="00445165">
        <w:trPr>
          <w:tblCellSpacing w:w="0" w:type="dxa"/>
        </w:trPr>
        <w:tc>
          <w:tcPr>
            <w:tcW w:w="0" w:type="auto"/>
            <w:hideMark/>
          </w:tcPr>
          <w:p w:rsidR="00445165" w:rsidRPr="00445165" w:rsidRDefault="00445165" w:rsidP="0044516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2" type="#_x0000_t75" style="width:20.25pt;height:18pt" o:ole="">
                  <v:imagedata r:id="rId5" o:title=""/>
                </v:shape>
                <w:control r:id="rId43" w:name="DefaultOcxName38" w:shapeid="_x0000_i1242"/>
              </w:object>
            </w:r>
          </w:p>
        </w:tc>
        <w:tc>
          <w:tcPr>
            <w:tcW w:w="0" w:type="auto"/>
            <w:hideMark/>
          </w:tcPr>
          <w:p w:rsidR="00445165" w:rsidRPr="00445165" w:rsidRDefault="00445165" w:rsidP="004451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516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Listing currently maturing long-term debt first.</w:t>
            </w:r>
          </w:p>
        </w:tc>
      </w:tr>
    </w:tbl>
    <w:p w:rsidR="00445165" w:rsidRDefault="00445165">
      <w:bookmarkStart w:id="0" w:name="_GoBack"/>
      <w:bookmarkEnd w:id="0"/>
    </w:p>
    <w:sectPr w:rsidR="00445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65"/>
    <w:rsid w:val="003227A7"/>
    <w:rsid w:val="004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B5565-0BAF-4450-9EB7-8B45A7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5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165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516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3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2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4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Tashina N Mrs  0359 SC BDE S4</dc:creator>
  <cp:keywords/>
  <dc:description/>
  <cp:lastModifiedBy>Wilson, Tashina N Mrs  0359 SC BDE S4</cp:lastModifiedBy>
  <cp:revision>1</cp:revision>
  <dcterms:created xsi:type="dcterms:W3CDTF">2018-02-01T18:00:00Z</dcterms:created>
  <dcterms:modified xsi:type="dcterms:W3CDTF">2018-02-01T18:04:00Z</dcterms:modified>
</cp:coreProperties>
</file>