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64" w:rsidRDefault="00571B10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DA6C4C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DA6C4C">
        <w:rPr>
          <w:color w:val="auto"/>
          <w:sz w:val="44"/>
          <w:szCs w:val="44"/>
        </w:rPr>
        <w:t xml:space="preserve">Supply Chain Analysis </w:t>
      </w:r>
      <w:r w:rsidR="00172564">
        <w:rPr>
          <w:sz w:val="44"/>
          <w:szCs w:val="44"/>
        </w:rPr>
        <w:t>Grading</w:t>
      </w:r>
      <w:r w:rsidR="00172564" w:rsidRPr="00B2739E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F93C01" w:rsidRDefault="00F93C01" w:rsidP="00172564">
      <w:pPr>
        <w:ind w:left="1980"/>
        <w:rPr>
          <w:b/>
          <w:color w:val="auto"/>
          <w:sz w:val="24"/>
        </w:rPr>
      </w:pPr>
      <w:r w:rsidRPr="00F93C01">
        <w:rPr>
          <w:b/>
          <w:color w:val="auto"/>
          <w:sz w:val="24"/>
        </w:rPr>
        <w:t>ISCOM/370</w:t>
      </w:r>
      <w:r w:rsidR="00172564" w:rsidRPr="00F93C01">
        <w:rPr>
          <w:b/>
          <w:color w:val="auto"/>
          <w:sz w:val="24"/>
        </w:rPr>
        <w:t xml:space="preserve"> Version </w:t>
      </w:r>
      <w:r w:rsidRPr="00F93C01">
        <w:rPr>
          <w:b/>
          <w:color w:val="auto"/>
          <w:sz w:val="24"/>
        </w:rPr>
        <w:t>5</w:t>
      </w:r>
    </w:p>
    <w:p w:rsidR="00172564" w:rsidRPr="00F93C01" w:rsidRDefault="00F93C01" w:rsidP="00172564">
      <w:pPr>
        <w:ind w:left="1980"/>
        <w:rPr>
          <w:color w:val="auto"/>
          <w:sz w:val="24"/>
        </w:rPr>
      </w:pPr>
      <w:r w:rsidRPr="00F93C01">
        <w:rPr>
          <w:color w:val="auto"/>
          <w:sz w:val="24"/>
        </w:rPr>
        <w:t>Strategic Supply Chain Management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F93C01">
        <w:rPr>
          <w:color w:val="auto"/>
          <w:sz w:val="16"/>
          <w:szCs w:val="16"/>
        </w:rPr>
        <w:t>2017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Individual Assignment: </w:t>
      </w:r>
      <w:r w:rsidR="00DA6C4C" w:rsidRPr="00DA6C4C">
        <w:rPr>
          <w:color w:val="auto"/>
        </w:rPr>
        <w:t>Supply Chain Analysis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F93C01" w:rsidRPr="00F93C01" w:rsidRDefault="00890FEB" w:rsidP="00F93C01">
      <w:pPr>
        <w:tabs>
          <w:tab w:val="left" w:pos="360"/>
        </w:tabs>
        <w:ind w:left="360"/>
        <w:rPr>
          <w:color w:val="auto"/>
        </w:rPr>
      </w:pPr>
      <w:r>
        <w:rPr>
          <w:color w:val="auto"/>
        </w:rPr>
        <w:t xml:space="preserve">In this assignment students will write an analysis for the CEO of a </w:t>
      </w:r>
      <w:r w:rsidR="00F93C01" w:rsidRPr="00F93C01">
        <w:rPr>
          <w:color w:val="auto"/>
        </w:rPr>
        <w:t xml:space="preserve">company describing the role of distribution channels, the factors that influence the company’s distribution channels, and the </w:t>
      </w:r>
      <w:r>
        <w:rPr>
          <w:color w:val="auto"/>
        </w:rPr>
        <w:t>technological innovations</w:t>
      </w:r>
      <w:r w:rsidR="00F93C01" w:rsidRPr="00F93C01">
        <w:rPr>
          <w:color w:val="auto"/>
        </w:rPr>
        <w:t xml:space="preserve"> </w:t>
      </w:r>
      <w:r>
        <w:rPr>
          <w:color w:val="auto"/>
        </w:rPr>
        <w:t>the company</w:t>
      </w:r>
      <w:r w:rsidR="00F93C01" w:rsidRPr="00F93C01">
        <w:rPr>
          <w:color w:val="auto"/>
        </w:rPr>
        <w:t xml:space="preserve"> can</w:t>
      </w:r>
      <w:r>
        <w:rPr>
          <w:color w:val="auto"/>
        </w:rPr>
        <w:t xml:space="preserve"> implement to improve the</w:t>
      </w:r>
      <w:r w:rsidR="00F93C01" w:rsidRPr="00F93C01">
        <w:rPr>
          <w:color w:val="auto"/>
        </w:rPr>
        <w:t xml:space="preserve"> company’s distribution channels.</w:t>
      </w:r>
      <w:r>
        <w:rPr>
          <w:color w:val="auto"/>
        </w:rPr>
        <w:t xml:space="preserve">  Students will need to create a plan to integrate possible changes to the supply chain, and then be able to evaluate whether the changes positively impacted the supply chain productivity and performance.</w:t>
      </w:r>
      <w:r w:rsidR="00F93C01" w:rsidRPr="00F93C01">
        <w:rPr>
          <w:color w:val="auto"/>
        </w:rPr>
        <w:t xml:space="preserve"> 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F93C01" w:rsidRPr="00590613" w:rsidTr="00BD2BA2">
        <w:trPr>
          <w:trHeight w:val="631"/>
          <w:jc w:val="center"/>
        </w:trPr>
        <w:tc>
          <w:tcPr>
            <w:tcW w:w="0" w:type="auto"/>
          </w:tcPr>
          <w:p w:rsidR="00F93C01" w:rsidRPr="00EC73FD" w:rsidRDefault="001D44FD" w:rsidP="003B2D62">
            <w:pPr>
              <w:rPr>
                <w:color w:val="auto"/>
              </w:rPr>
            </w:pPr>
            <w:r>
              <w:rPr>
                <w:color w:val="auto"/>
              </w:rPr>
              <w:t>The student c</w:t>
            </w:r>
            <w:r w:rsidR="00F93C01" w:rsidRPr="00F93C01">
              <w:rPr>
                <w:color w:val="auto"/>
              </w:rPr>
              <w:t>h</w:t>
            </w:r>
            <w:r>
              <w:rPr>
                <w:color w:val="auto"/>
              </w:rPr>
              <w:t>o</w:t>
            </w:r>
            <w:r w:rsidR="00F93C01" w:rsidRPr="00F93C01">
              <w:rPr>
                <w:color w:val="auto"/>
              </w:rPr>
              <w:t>ose</w:t>
            </w:r>
            <w:r>
              <w:rPr>
                <w:color w:val="auto"/>
              </w:rPr>
              <w:t>s</w:t>
            </w:r>
            <w:r w:rsidR="00F93C01" w:rsidRPr="00F93C01">
              <w:rPr>
                <w:bCs/>
                <w:iCs/>
                <w:color w:val="auto"/>
              </w:rPr>
              <w:t xml:space="preserve"> </w:t>
            </w:r>
            <w:r w:rsidR="003B2D62">
              <w:rPr>
                <w:bCs/>
                <w:iCs/>
                <w:color w:val="auto"/>
              </w:rPr>
              <w:t>one of the companies evaluated</w:t>
            </w:r>
            <w:r w:rsidR="00004549" w:rsidRPr="00004549">
              <w:rPr>
                <w:bCs/>
                <w:iCs/>
                <w:color w:val="auto"/>
              </w:rPr>
              <w:t xml:space="preserve"> </w:t>
            </w:r>
            <w:r w:rsidR="00F93C01" w:rsidRPr="00EC73FD">
              <w:rPr>
                <w:color w:val="auto"/>
              </w:rPr>
              <w:t xml:space="preserve">in </w:t>
            </w:r>
            <w:r w:rsidR="00004549">
              <w:rPr>
                <w:color w:val="auto"/>
              </w:rPr>
              <w:t>Week</w:t>
            </w:r>
            <w:r w:rsidR="00F93C01" w:rsidRPr="00EC73FD">
              <w:rPr>
                <w:color w:val="auto"/>
              </w:rPr>
              <w:t xml:space="preserve"> 1, 2, 3, </w:t>
            </w:r>
            <w:r w:rsidR="003B2D62">
              <w:rPr>
                <w:color w:val="auto"/>
              </w:rPr>
              <w:t>or</w:t>
            </w:r>
            <w:r w:rsidR="00F93C01" w:rsidRPr="00EC73FD">
              <w:rPr>
                <w:color w:val="auto"/>
              </w:rPr>
              <w:t xml:space="preserve"> 4</w:t>
            </w:r>
            <w:r w:rsidR="00A53ABB">
              <w:rPr>
                <w:color w:val="auto"/>
              </w:rPr>
              <w:t>;</w:t>
            </w:r>
            <w:r w:rsidR="003B2D62">
              <w:rPr>
                <w:color w:val="auto"/>
              </w:rPr>
              <w:t xml:space="preserve"> </w:t>
            </w:r>
            <w:r w:rsidR="00DA6C4C" w:rsidRPr="00DA6C4C">
              <w:rPr>
                <w:color w:val="auto"/>
              </w:rPr>
              <w:t>preferably a company that is growing.</w:t>
            </w:r>
          </w:p>
        </w:tc>
        <w:tc>
          <w:tcPr>
            <w:tcW w:w="841" w:type="dxa"/>
            <w:vAlign w:val="center"/>
          </w:tcPr>
          <w:p w:rsidR="00F93C01" w:rsidRPr="00BD2BA2" w:rsidRDefault="00F93C01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F93C01" w:rsidRPr="00BD2BA2" w:rsidRDefault="00F93C01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F93C01" w:rsidRPr="00BD2BA2" w:rsidRDefault="00F93C01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F93C01" w:rsidRPr="00BD2BA2" w:rsidRDefault="00F93C01" w:rsidP="00F93C01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F93C01" w:rsidRPr="00590613" w:rsidTr="00BD2BA2">
        <w:trPr>
          <w:trHeight w:val="622"/>
          <w:jc w:val="center"/>
        </w:trPr>
        <w:tc>
          <w:tcPr>
            <w:tcW w:w="0" w:type="auto"/>
          </w:tcPr>
          <w:p w:rsidR="00F93C01" w:rsidRPr="00EC73FD" w:rsidRDefault="001D44FD" w:rsidP="001D44FD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 d</w:t>
            </w:r>
            <w:r w:rsidR="00F93C01">
              <w:rPr>
                <w:color w:val="auto"/>
              </w:rPr>
              <w:t>escribe</w:t>
            </w:r>
            <w:r>
              <w:rPr>
                <w:color w:val="auto"/>
              </w:rPr>
              <w:t>s</w:t>
            </w:r>
            <w:r w:rsidR="00F93C01" w:rsidRPr="00EC73FD">
              <w:rPr>
                <w:color w:val="auto"/>
              </w:rPr>
              <w:t xml:space="preserve"> the role of distribution in the supply chain.</w:t>
            </w:r>
          </w:p>
        </w:tc>
        <w:tc>
          <w:tcPr>
            <w:tcW w:w="841" w:type="dxa"/>
            <w:vAlign w:val="center"/>
          </w:tcPr>
          <w:p w:rsidR="00F93C01" w:rsidRPr="00BD2BA2" w:rsidRDefault="00F93C01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F93C01" w:rsidRPr="00BD2BA2" w:rsidRDefault="00F93C01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F93C01" w:rsidRPr="00BD2BA2" w:rsidRDefault="00F93C01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F93C01" w:rsidRPr="00BD2BA2" w:rsidRDefault="00F93C01" w:rsidP="00F93C01">
            <w:pPr>
              <w:rPr>
                <w:color w:val="auto"/>
              </w:rPr>
            </w:pPr>
          </w:p>
        </w:tc>
      </w:tr>
      <w:tr w:rsidR="00DA6C4C" w:rsidRPr="00590613" w:rsidTr="00BD2BA2">
        <w:trPr>
          <w:trHeight w:val="622"/>
          <w:jc w:val="center"/>
        </w:trPr>
        <w:tc>
          <w:tcPr>
            <w:tcW w:w="0" w:type="auto"/>
          </w:tcPr>
          <w:p w:rsidR="00DA6C4C" w:rsidRDefault="001D44FD" w:rsidP="001D44FD">
            <w:pPr>
              <w:tabs>
                <w:tab w:val="left" w:pos="3605"/>
              </w:tabs>
              <w:rPr>
                <w:color w:val="auto"/>
              </w:rPr>
            </w:pPr>
            <w:r w:rsidRPr="001D44FD">
              <w:rPr>
                <w:color w:val="auto"/>
              </w:rPr>
              <w:t xml:space="preserve">The student </w:t>
            </w:r>
            <w:r>
              <w:rPr>
                <w:color w:val="auto"/>
              </w:rPr>
              <w:t>e</w:t>
            </w:r>
            <w:r w:rsidR="00DA6C4C" w:rsidRPr="00DA6C4C">
              <w:rPr>
                <w:color w:val="auto"/>
              </w:rPr>
              <w:t>valuate</w:t>
            </w:r>
            <w:r>
              <w:rPr>
                <w:color w:val="auto"/>
              </w:rPr>
              <w:t>s</w:t>
            </w:r>
            <w:r w:rsidR="00DA6C4C" w:rsidRPr="00DA6C4C">
              <w:rPr>
                <w:color w:val="auto"/>
              </w:rPr>
              <w:t xml:space="preserve"> factors that have an influence upon the company’s distribution channels.</w:t>
            </w:r>
          </w:p>
        </w:tc>
        <w:tc>
          <w:tcPr>
            <w:tcW w:w="841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DA6C4C" w:rsidRPr="00BD2BA2" w:rsidRDefault="00DA6C4C" w:rsidP="00F93C01">
            <w:pPr>
              <w:rPr>
                <w:color w:val="auto"/>
              </w:rPr>
            </w:pPr>
          </w:p>
        </w:tc>
      </w:tr>
      <w:tr w:rsidR="00DA6C4C" w:rsidRPr="00590613" w:rsidTr="00BD2BA2">
        <w:trPr>
          <w:trHeight w:val="622"/>
          <w:jc w:val="center"/>
        </w:trPr>
        <w:tc>
          <w:tcPr>
            <w:tcW w:w="0" w:type="auto"/>
          </w:tcPr>
          <w:p w:rsidR="00DA6C4C" w:rsidRPr="00DA6C4C" w:rsidRDefault="001D44FD" w:rsidP="00F93C01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 a</w:t>
            </w:r>
            <w:r w:rsidR="00DA6C4C" w:rsidRPr="00DA6C4C">
              <w:rPr>
                <w:color w:val="auto"/>
              </w:rPr>
              <w:t>ssess</w:t>
            </w:r>
            <w:r>
              <w:rPr>
                <w:color w:val="auto"/>
              </w:rPr>
              <w:t>es</w:t>
            </w:r>
            <w:r w:rsidR="00DA6C4C" w:rsidRPr="00DA6C4C">
              <w:rPr>
                <w:color w:val="auto"/>
              </w:rPr>
              <w:t xml:space="preserve"> technological innovations that this company can implement to improve its distribution channels.</w:t>
            </w:r>
          </w:p>
        </w:tc>
        <w:tc>
          <w:tcPr>
            <w:tcW w:w="841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DA6C4C" w:rsidRPr="00BD2BA2" w:rsidRDefault="00DA6C4C" w:rsidP="00F93C01">
            <w:pPr>
              <w:rPr>
                <w:color w:val="auto"/>
              </w:rPr>
            </w:pPr>
          </w:p>
        </w:tc>
      </w:tr>
      <w:tr w:rsidR="00DA6C4C" w:rsidRPr="00590613" w:rsidTr="00BD2BA2">
        <w:trPr>
          <w:trHeight w:val="622"/>
          <w:jc w:val="center"/>
        </w:trPr>
        <w:tc>
          <w:tcPr>
            <w:tcW w:w="0" w:type="auto"/>
          </w:tcPr>
          <w:p w:rsidR="00DA6C4C" w:rsidRPr="00DA6C4C" w:rsidRDefault="001D44FD" w:rsidP="001D44FD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</w:t>
            </w:r>
            <w:r w:rsidRPr="00DA6C4C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="00DA6C4C" w:rsidRPr="00DA6C4C">
              <w:rPr>
                <w:color w:val="auto"/>
              </w:rPr>
              <w:t>ummarize</w:t>
            </w:r>
            <w:r>
              <w:rPr>
                <w:color w:val="auto"/>
              </w:rPr>
              <w:t>s</w:t>
            </w:r>
            <w:r w:rsidR="00DA6C4C" w:rsidRPr="00DA6C4C">
              <w:rPr>
                <w:color w:val="auto"/>
              </w:rPr>
              <w:t xml:space="preserve"> </w:t>
            </w:r>
            <w:r>
              <w:rPr>
                <w:color w:val="auto"/>
              </w:rPr>
              <w:t>their</w:t>
            </w:r>
            <w:r w:rsidR="00DA6C4C">
              <w:rPr>
                <w:color w:val="auto"/>
              </w:rPr>
              <w:t xml:space="preserve"> </w:t>
            </w:r>
            <w:r w:rsidR="00DA6C4C" w:rsidRPr="00DA6C4C">
              <w:rPr>
                <w:color w:val="auto"/>
              </w:rPr>
              <w:t>conclusions</w:t>
            </w:r>
            <w:r w:rsidR="00DA6C4C">
              <w:rPr>
                <w:color w:val="auto"/>
              </w:rPr>
              <w:t>.</w:t>
            </w:r>
            <w:r w:rsidR="00DA6C4C" w:rsidRPr="00DA6C4C">
              <w:rPr>
                <w:color w:val="auto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DA6C4C" w:rsidRPr="00BD2BA2" w:rsidRDefault="00DA6C4C" w:rsidP="00F93C01">
            <w:pPr>
              <w:rPr>
                <w:color w:val="auto"/>
              </w:rPr>
            </w:pPr>
          </w:p>
        </w:tc>
      </w:tr>
      <w:tr w:rsidR="00DA6C4C" w:rsidRPr="00590613" w:rsidTr="00BD2BA2">
        <w:trPr>
          <w:trHeight w:val="622"/>
          <w:jc w:val="center"/>
        </w:trPr>
        <w:tc>
          <w:tcPr>
            <w:tcW w:w="0" w:type="auto"/>
          </w:tcPr>
          <w:p w:rsidR="00DA6C4C" w:rsidRPr="00DA6C4C" w:rsidRDefault="001D44FD" w:rsidP="001D44FD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</w:t>
            </w:r>
            <w:r w:rsidRPr="00DA6C4C">
              <w:rPr>
                <w:color w:val="auto"/>
              </w:rPr>
              <w:t xml:space="preserve"> </w:t>
            </w:r>
            <w:r>
              <w:rPr>
                <w:color w:val="auto"/>
              </w:rPr>
              <w:t>d</w:t>
            </w:r>
            <w:r w:rsidR="00DA6C4C" w:rsidRPr="00DA6C4C">
              <w:rPr>
                <w:color w:val="auto"/>
              </w:rPr>
              <w:t>evelop</w:t>
            </w:r>
            <w:r>
              <w:rPr>
                <w:color w:val="auto"/>
              </w:rPr>
              <w:t>s</w:t>
            </w:r>
            <w:r w:rsidR="00DA6C4C" w:rsidRPr="00DA6C4C">
              <w:rPr>
                <w:color w:val="auto"/>
              </w:rPr>
              <w:t xml:space="preserve"> a plan for integrating these changes into the supply chain. </w:t>
            </w:r>
          </w:p>
        </w:tc>
        <w:tc>
          <w:tcPr>
            <w:tcW w:w="841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DA6C4C" w:rsidRPr="00BD2BA2" w:rsidRDefault="00DA6C4C" w:rsidP="00F93C01">
            <w:pPr>
              <w:rPr>
                <w:color w:val="auto"/>
              </w:rPr>
            </w:pPr>
          </w:p>
        </w:tc>
      </w:tr>
      <w:tr w:rsidR="00DA6C4C" w:rsidRPr="00590613" w:rsidTr="00BD2BA2">
        <w:trPr>
          <w:trHeight w:val="622"/>
          <w:jc w:val="center"/>
        </w:trPr>
        <w:tc>
          <w:tcPr>
            <w:tcW w:w="0" w:type="auto"/>
          </w:tcPr>
          <w:p w:rsidR="00DA6C4C" w:rsidRPr="00DA6C4C" w:rsidRDefault="001D44FD" w:rsidP="001D44FD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 c</w:t>
            </w:r>
            <w:r w:rsidR="00DA6C4C">
              <w:rPr>
                <w:color w:val="auto"/>
              </w:rPr>
              <w:t>ho</w:t>
            </w:r>
            <w:r>
              <w:rPr>
                <w:color w:val="auto"/>
              </w:rPr>
              <w:t>o</w:t>
            </w:r>
            <w:r w:rsidR="00DA6C4C" w:rsidRPr="00DA6C4C">
              <w:rPr>
                <w:color w:val="auto"/>
              </w:rPr>
              <w:t>se</w:t>
            </w:r>
            <w:r>
              <w:rPr>
                <w:color w:val="auto"/>
              </w:rPr>
              <w:t>s</w:t>
            </w:r>
            <w:r w:rsidR="00DA6C4C" w:rsidRPr="00DA6C4C">
              <w:rPr>
                <w:color w:val="auto"/>
              </w:rPr>
              <w:t xml:space="preserve"> the metrics that will be used to evaluate whether or not revisions to the company’s distribution channels increased overall supply chain productivity and performance.</w:t>
            </w:r>
          </w:p>
        </w:tc>
        <w:tc>
          <w:tcPr>
            <w:tcW w:w="841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DA6C4C" w:rsidRPr="00BD2BA2" w:rsidRDefault="00DA6C4C" w:rsidP="00F93C01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DA6C4C" w:rsidRPr="00BD2BA2" w:rsidRDefault="00DA6C4C" w:rsidP="00F93C01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8F43CC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</w:t>
            </w:r>
            <w:r w:rsidR="008F43CC">
              <w:rPr>
                <w:color w:val="auto"/>
              </w:rPr>
              <w:t>analysis</w:t>
            </w:r>
            <w:r w:rsidRPr="00BD2BA2">
              <w:rPr>
                <w:color w:val="auto"/>
              </w:rPr>
              <w:t xml:space="preserve"> is </w:t>
            </w:r>
            <w:r w:rsidR="00F93C01" w:rsidRPr="00F93C01">
              <w:rPr>
                <w:color w:val="auto"/>
              </w:rPr>
              <w:t>700</w:t>
            </w:r>
            <w:r w:rsidR="2D005D51" w:rsidRPr="00F93C01">
              <w:rPr>
                <w:color w:val="auto"/>
              </w:rPr>
              <w:t xml:space="preserve"> to </w:t>
            </w:r>
            <w:r w:rsidR="00F93C01" w:rsidRPr="00F93C01">
              <w:rPr>
                <w:rFonts w:eastAsia="Arial"/>
                <w:color w:val="auto"/>
              </w:rPr>
              <w:t>1,</w:t>
            </w:r>
            <w:r w:rsidR="00A2208C">
              <w:rPr>
                <w:rFonts w:eastAsia="Arial"/>
                <w:color w:val="auto"/>
              </w:rPr>
              <w:t>225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F93C01" w:rsidTr="00BD2BA2">
        <w:trPr>
          <w:trHeight w:val="537"/>
          <w:jc w:val="center"/>
        </w:trPr>
        <w:tc>
          <w:tcPr>
            <w:tcW w:w="0" w:type="auto"/>
          </w:tcPr>
          <w:p w:rsidR="003015A0" w:rsidRPr="00F93C01" w:rsidRDefault="003015A0" w:rsidP="00D35E33">
            <w:pPr>
              <w:jc w:val="right"/>
              <w:rPr>
                <w:color w:val="auto"/>
              </w:rPr>
            </w:pPr>
          </w:p>
          <w:p w:rsidR="00DA4B1A" w:rsidRPr="00F93C01" w:rsidRDefault="00DA4B1A" w:rsidP="00DA4B1A">
            <w:pPr>
              <w:rPr>
                <w:color w:val="auto"/>
              </w:rPr>
            </w:pPr>
          </w:p>
          <w:p w:rsidR="0049747D" w:rsidRPr="00F93C01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F93C01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F93C01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F93C01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F93C01" w:rsidRDefault="003015A0" w:rsidP="00D35E33">
            <w:pPr>
              <w:jc w:val="center"/>
              <w:rPr>
                <w:color w:val="auto"/>
              </w:rPr>
            </w:pPr>
            <w:r w:rsidRPr="00F93C01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F93C01" w:rsidRDefault="003015A0" w:rsidP="00D35E33">
            <w:pPr>
              <w:rPr>
                <w:color w:val="auto"/>
              </w:rPr>
            </w:pPr>
          </w:p>
        </w:tc>
      </w:tr>
      <w:tr w:rsidR="003015A0" w:rsidRPr="00F93C01" w:rsidTr="00BD2BA2">
        <w:trPr>
          <w:trHeight w:val="203"/>
          <w:jc w:val="center"/>
        </w:trPr>
        <w:tc>
          <w:tcPr>
            <w:tcW w:w="0" w:type="auto"/>
          </w:tcPr>
          <w:p w:rsidR="003015A0" w:rsidRPr="00F93C01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F93C01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F93C01" w:rsidRDefault="00F93C01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F93C01"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F93C01" w:rsidRDefault="00086CA8" w:rsidP="00F93C01">
            <w:pPr>
              <w:jc w:val="center"/>
              <w:rPr>
                <w:color w:val="auto"/>
              </w:rPr>
            </w:pPr>
            <w:r w:rsidRPr="00F93C01">
              <w:rPr>
                <w:color w:val="auto"/>
              </w:rPr>
              <w:t>#</w:t>
            </w:r>
            <w:r w:rsidR="003015A0" w:rsidRPr="00F93C01">
              <w:rPr>
                <w:color w:val="auto"/>
              </w:rPr>
              <w:t>/</w:t>
            </w:r>
            <w:r w:rsidR="00F93C01" w:rsidRPr="00F93C01"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3015A0" w:rsidRPr="00F93C01" w:rsidRDefault="003015A0" w:rsidP="00D35E33">
            <w:pPr>
              <w:rPr>
                <w:color w:val="auto"/>
              </w:rPr>
            </w:pPr>
          </w:p>
        </w:tc>
      </w:tr>
    </w:tbl>
    <w:p w:rsidR="00124E29" w:rsidRPr="00F93C01" w:rsidRDefault="00124E29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3C01">
              <w:rPr>
                <w:b/>
                <w:bCs/>
                <w:iCs/>
                <w:color w:val="auto"/>
              </w:rPr>
              <w:lastRenderedPageBreak/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color w:val="auto"/>
              </w:rPr>
            </w:pPr>
            <w:r w:rsidRPr="00F93C01">
              <w:rPr>
                <w:color w:val="auto"/>
              </w:rPr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color w:val="auto"/>
              </w:rPr>
            </w:pPr>
            <w:r w:rsidRPr="00F93C01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color w:val="auto"/>
              </w:rPr>
            </w:pPr>
            <w:r w:rsidRPr="00F93C01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color w:val="auto"/>
              </w:rPr>
            </w:pPr>
            <w:r w:rsidRPr="00F93C01">
              <w:rPr>
                <w:color w:val="auto"/>
              </w:rPr>
              <w:t>Comments:</w:t>
            </w: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3C01">
              <w:rPr>
                <w:b/>
                <w:bCs/>
                <w:iCs/>
                <w:color w:val="auto"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3C01">
              <w:rPr>
                <w:b/>
                <w:bCs/>
                <w:iCs/>
                <w:color w:val="auto"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F93C01">
              <w:rPr>
                <w:bCs/>
                <w:iCs/>
                <w:color w:val="auto"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  <w:r w:rsidRPr="00F93C01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B454DB">
            <w:pPr>
              <w:jc w:val="center"/>
              <w:rPr>
                <w:b/>
                <w:color w:val="auto"/>
              </w:rPr>
            </w:pPr>
            <w:r w:rsidRPr="00F93C01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F93C01" w:rsidTr="00A96B87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3C01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F93C01" w:rsidRDefault="00F93C01" w:rsidP="00124E2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F93C01">
              <w:rPr>
                <w:color w:val="auto"/>
              </w:rPr>
              <w:t>3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F93C01" w:rsidRDefault="00124E29" w:rsidP="00F93C01">
            <w:pPr>
              <w:jc w:val="center"/>
              <w:rPr>
                <w:color w:val="auto"/>
              </w:rPr>
            </w:pPr>
            <w:r w:rsidRPr="00F93C01">
              <w:rPr>
                <w:color w:val="auto"/>
              </w:rPr>
              <w:t>#/</w:t>
            </w:r>
            <w:r w:rsidR="00F93C01" w:rsidRPr="00F93C01">
              <w:rPr>
                <w:color w:val="auto"/>
              </w:rPr>
              <w:t>3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</w:tbl>
    <w:p w:rsidR="00124E29" w:rsidRPr="00F93C01" w:rsidRDefault="00124E29" w:rsidP="00124E29">
      <w:pPr>
        <w:rPr>
          <w:color w:val="auto"/>
        </w:rPr>
      </w:pPr>
    </w:p>
    <w:p w:rsidR="00124E29" w:rsidRPr="00F93C01" w:rsidRDefault="00124E29" w:rsidP="00124E29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F93C01" w:rsidRPr="00F93C01" w:rsidTr="00B454DB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124E29" w:rsidRPr="00F93C01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F93C01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124E29" w:rsidRPr="00F93C01" w:rsidRDefault="00124E29" w:rsidP="00124E29">
            <w:pPr>
              <w:jc w:val="center"/>
              <w:rPr>
                <w:b/>
                <w:color w:val="auto"/>
              </w:rPr>
            </w:pPr>
            <w:r w:rsidRPr="00F93C01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124E29" w:rsidRPr="00F93C01" w:rsidRDefault="00F93C01" w:rsidP="00124E29">
            <w:pPr>
              <w:jc w:val="center"/>
              <w:rPr>
                <w:b/>
                <w:color w:val="auto"/>
              </w:rPr>
            </w:pPr>
            <w:r w:rsidRPr="00F93C01"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124E29" w:rsidRPr="00F93C01" w:rsidRDefault="00124E29" w:rsidP="00F93C01">
            <w:pPr>
              <w:jc w:val="center"/>
              <w:rPr>
                <w:b/>
                <w:color w:val="auto"/>
              </w:rPr>
            </w:pPr>
            <w:r w:rsidRPr="00F93C01">
              <w:rPr>
                <w:b/>
                <w:color w:val="auto"/>
              </w:rPr>
              <w:t>#/</w:t>
            </w:r>
            <w:r w:rsidR="00F93C01" w:rsidRPr="00F93C01"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124E29" w:rsidRPr="00F93C01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1764BB" w:rsidTr="00B454DB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124E29" w:rsidRDefault="00124E29" w:rsidP="00B454DB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Pr="001764BB" w:rsidRDefault="00124E29" w:rsidP="00B454DB">
            <w:pPr>
              <w:tabs>
                <w:tab w:val="left" w:pos="3605"/>
              </w:tabs>
            </w:pPr>
          </w:p>
        </w:tc>
      </w:tr>
    </w:tbl>
    <w:p w:rsidR="00124E29" w:rsidRDefault="00124E29" w:rsidP="00124E29"/>
    <w:p w:rsidR="00124E29" w:rsidRDefault="00124E29" w:rsidP="00124E29"/>
    <w:p w:rsidR="00124E29" w:rsidRPr="00D82D17" w:rsidRDefault="00124E29" w:rsidP="00124E29"/>
    <w:p w:rsidR="00124E29" w:rsidRDefault="00124E29" w:rsidP="00124E29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C7" w:rsidRDefault="00535DC7">
      <w:r>
        <w:separator/>
      </w:r>
    </w:p>
  </w:endnote>
  <w:endnote w:type="continuationSeparator" w:id="0">
    <w:p w:rsidR="00535DC7" w:rsidRDefault="005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C7" w:rsidRDefault="00535DC7">
      <w:r>
        <w:separator/>
      </w:r>
    </w:p>
  </w:footnote>
  <w:footnote w:type="continuationSeparator" w:id="0">
    <w:p w:rsidR="00535DC7" w:rsidRDefault="0053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DA6C4C" w:rsidP="00645B6F">
          <w:pPr>
            <w:rPr>
              <w:sz w:val="16"/>
              <w:szCs w:val="16"/>
            </w:rPr>
          </w:pPr>
          <w:r w:rsidRPr="00DA6C4C">
            <w:rPr>
              <w:sz w:val="16"/>
              <w:szCs w:val="16"/>
            </w:rPr>
            <w:t xml:space="preserve">Supply Chain Analysis </w:t>
          </w:r>
          <w:r w:rsidR="003015A0" w:rsidRPr="00BD2BA2">
            <w:rPr>
              <w:sz w:val="16"/>
              <w:szCs w:val="16"/>
            </w:rPr>
            <w:t>Grading Guide</w:t>
          </w:r>
        </w:p>
        <w:p w:rsidR="003015A0" w:rsidRPr="00BD2BA2" w:rsidRDefault="00F93C01" w:rsidP="00F93C01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ISCOM/370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>
            <w:rPr>
              <w:b/>
              <w:bCs/>
              <w:sz w:val="16"/>
              <w:szCs w:val="16"/>
            </w:rPr>
            <w:t>5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827689">
            <w:rPr>
              <w:rStyle w:val="PageNumber"/>
              <w:noProof/>
              <w:color w:val="auto"/>
              <w:sz w:val="16"/>
              <w:szCs w:val="16"/>
            </w:rPr>
            <w:t>3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AB0BF1"/>
    <w:multiLevelType w:val="hybridMultilevel"/>
    <w:tmpl w:val="9D9C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4549"/>
    <w:rsid w:val="000060E5"/>
    <w:rsid w:val="00036029"/>
    <w:rsid w:val="00057003"/>
    <w:rsid w:val="00060131"/>
    <w:rsid w:val="00077A4E"/>
    <w:rsid w:val="00086C1D"/>
    <w:rsid w:val="00086CA8"/>
    <w:rsid w:val="00094851"/>
    <w:rsid w:val="000B2CB9"/>
    <w:rsid w:val="00124E29"/>
    <w:rsid w:val="0013348F"/>
    <w:rsid w:val="00161489"/>
    <w:rsid w:val="00172564"/>
    <w:rsid w:val="00182B66"/>
    <w:rsid w:val="001A1F1F"/>
    <w:rsid w:val="001A2721"/>
    <w:rsid w:val="001B548F"/>
    <w:rsid w:val="001D44FD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133E"/>
    <w:rsid w:val="00337060"/>
    <w:rsid w:val="003B1CAD"/>
    <w:rsid w:val="003B2D62"/>
    <w:rsid w:val="003E12D0"/>
    <w:rsid w:val="0040332E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D12E2"/>
    <w:rsid w:val="004D6163"/>
    <w:rsid w:val="004D6A49"/>
    <w:rsid w:val="004F667B"/>
    <w:rsid w:val="005245E2"/>
    <w:rsid w:val="00535DC7"/>
    <w:rsid w:val="00551275"/>
    <w:rsid w:val="00567DC0"/>
    <w:rsid w:val="00571B10"/>
    <w:rsid w:val="00585286"/>
    <w:rsid w:val="00590613"/>
    <w:rsid w:val="005931B8"/>
    <w:rsid w:val="005D561A"/>
    <w:rsid w:val="005D6656"/>
    <w:rsid w:val="005E29F3"/>
    <w:rsid w:val="005F1ED4"/>
    <w:rsid w:val="005F6242"/>
    <w:rsid w:val="0061656B"/>
    <w:rsid w:val="00645B6F"/>
    <w:rsid w:val="00665DD4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2789D"/>
    <w:rsid w:val="00727FED"/>
    <w:rsid w:val="00745C01"/>
    <w:rsid w:val="00754386"/>
    <w:rsid w:val="00797EBE"/>
    <w:rsid w:val="007C47BE"/>
    <w:rsid w:val="007C6B9A"/>
    <w:rsid w:val="007D1F98"/>
    <w:rsid w:val="007D786D"/>
    <w:rsid w:val="007E0E85"/>
    <w:rsid w:val="007F0F4A"/>
    <w:rsid w:val="00800F96"/>
    <w:rsid w:val="008028C9"/>
    <w:rsid w:val="00814F18"/>
    <w:rsid w:val="008234EA"/>
    <w:rsid w:val="008258B2"/>
    <w:rsid w:val="00827689"/>
    <w:rsid w:val="00857CDC"/>
    <w:rsid w:val="008644F3"/>
    <w:rsid w:val="00875A02"/>
    <w:rsid w:val="00882033"/>
    <w:rsid w:val="00890FEB"/>
    <w:rsid w:val="00895D09"/>
    <w:rsid w:val="008B325B"/>
    <w:rsid w:val="008C5486"/>
    <w:rsid w:val="008D2F40"/>
    <w:rsid w:val="008F43CC"/>
    <w:rsid w:val="0093036F"/>
    <w:rsid w:val="00935BA0"/>
    <w:rsid w:val="009656E1"/>
    <w:rsid w:val="009961E5"/>
    <w:rsid w:val="009A7811"/>
    <w:rsid w:val="009B4D21"/>
    <w:rsid w:val="009B7972"/>
    <w:rsid w:val="009C10BC"/>
    <w:rsid w:val="009E1597"/>
    <w:rsid w:val="00A1387A"/>
    <w:rsid w:val="00A2208C"/>
    <w:rsid w:val="00A53ABB"/>
    <w:rsid w:val="00A5634E"/>
    <w:rsid w:val="00A6557A"/>
    <w:rsid w:val="00A66014"/>
    <w:rsid w:val="00A71C08"/>
    <w:rsid w:val="00A8085D"/>
    <w:rsid w:val="00A833CD"/>
    <w:rsid w:val="00A96B87"/>
    <w:rsid w:val="00AC05B0"/>
    <w:rsid w:val="00AC2FE2"/>
    <w:rsid w:val="00AC7245"/>
    <w:rsid w:val="00AE1915"/>
    <w:rsid w:val="00AF72FA"/>
    <w:rsid w:val="00B02E4E"/>
    <w:rsid w:val="00B17743"/>
    <w:rsid w:val="00B27FBB"/>
    <w:rsid w:val="00B41633"/>
    <w:rsid w:val="00B454DB"/>
    <w:rsid w:val="00B53670"/>
    <w:rsid w:val="00B859A5"/>
    <w:rsid w:val="00B92F64"/>
    <w:rsid w:val="00BD2BA2"/>
    <w:rsid w:val="00BD3069"/>
    <w:rsid w:val="00BD5ADE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23E71"/>
    <w:rsid w:val="00D35E33"/>
    <w:rsid w:val="00D61A15"/>
    <w:rsid w:val="00D82D17"/>
    <w:rsid w:val="00DA4B1A"/>
    <w:rsid w:val="00DA6C4C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3C01"/>
    <w:rsid w:val="00F955BB"/>
    <w:rsid w:val="00FC1ECE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361C0-D3B5-4AB2-8577-0D1295F7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5EA2-77FC-4202-B157-4477F51D2E1F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D4D54A-EA98-42BD-9FDC-3F130F63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432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Pennie Maholland</cp:lastModifiedBy>
  <cp:revision>5</cp:revision>
  <cp:lastPrinted>2007-05-08T20:15:00Z</cp:lastPrinted>
  <dcterms:created xsi:type="dcterms:W3CDTF">2017-04-17T21:33:00Z</dcterms:created>
  <dcterms:modified xsi:type="dcterms:W3CDTF">2017-04-18T20:09:00Z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