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64" w:rsidRDefault="0078788D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508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172564" w:rsidRPr="00B2739E" w:rsidRDefault="005F5A4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 w:rsidRPr="005F5A44">
        <w:rPr>
          <w:color w:val="auto"/>
          <w:sz w:val="44"/>
          <w:szCs w:val="44"/>
        </w:rPr>
        <w:t>Sourcing Strategy</w:t>
      </w:r>
      <w:r w:rsidR="00172564" w:rsidRPr="00172564">
        <w:rPr>
          <w:sz w:val="44"/>
          <w:szCs w:val="44"/>
        </w:rPr>
        <w:t xml:space="preserve"> </w:t>
      </w:r>
      <w:r w:rsidR="00172564">
        <w:rPr>
          <w:sz w:val="44"/>
          <w:szCs w:val="44"/>
        </w:rPr>
        <w:t>Grading</w:t>
      </w:r>
      <w:r w:rsidR="00172564" w:rsidRPr="00B2739E">
        <w:rPr>
          <w:sz w:val="44"/>
          <w:szCs w:val="44"/>
        </w:rPr>
        <w:t xml:space="preserve"> </w:t>
      </w:r>
      <w:r w:rsidR="00172564">
        <w:rPr>
          <w:sz w:val="44"/>
          <w:szCs w:val="44"/>
        </w:rPr>
        <w:t>Guide</w:t>
      </w:r>
    </w:p>
    <w:p w:rsidR="00172564" w:rsidRPr="0041322F" w:rsidRDefault="00172564" w:rsidP="00172564">
      <w:pPr>
        <w:tabs>
          <w:tab w:val="left" w:pos="4320"/>
        </w:tabs>
        <w:ind w:left="4320"/>
      </w:pPr>
    </w:p>
    <w:p w:rsidR="00172564" w:rsidRPr="005F5A44" w:rsidRDefault="005F5A44" w:rsidP="00172564">
      <w:pPr>
        <w:ind w:left="1980"/>
        <w:rPr>
          <w:b/>
          <w:color w:val="auto"/>
          <w:sz w:val="24"/>
        </w:rPr>
      </w:pPr>
      <w:r w:rsidRPr="005F5A44">
        <w:rPr>
          <w:b/>
          <w:color w:val="auto"/>
          <w:sz w:val="24"/>
        </w:rPr>
        <w:t>ISCOM/370</w:t>
      </w:r>
      <w:r w:rsidR="00172564" w:rsidRPr="005F5A44">
        <w:rPr>
          <w:b/>
          <w:color w:val="auto"/>
          <w:sz w:val="24"/>
        </w:rPr>
        <w:t xml:space="preserve"> Version </w:t>
      </w:r>
      <w:r w:rsidRPr="005F5A44">
        <w:rPr>
          <w:b/>
          <w:color w:val="auto"/>
          <w:sz w:val="24"/>
        </w:rPr>
        <w:t>5</w:t>
      </w:r>
    </w:p>
    <w:p w:rsidR="00172564" w:rsidRPr="005F5A44" w:rsidRDefault="005F5A44" w:rsidP="00172564">
      <w:pPr>
        <w:pStyle w:val="NoSpacing"/>
      </w:pPr>
      <w:r w:rsidRPr="005F5A44">
        <w:rPr>
          <w:rFonts w:cs="Arial"/>
          <w:sz w:val="24"/>
        </w:rPr>
        <w:tab/>
      </w:r>
      <w:r w:rsidRPr="005F5A44">
        <w:rPr>
          <w:rFonts w:cs="Arial"/>
          <w:sz w:val="24"/>
        </w:rPr>
        <w:tab/>
      </w:r>
      <w:r w:rsidRPr="005F5A44">
        <w:rPr>
          <w:rFonts w:cs="Arial"/>
          <w:sz w:val="24"/>
        </w:rPr>
        <w:tab/>
        <w:t xml:space="preserve">        Strategic Supply Chain Management</w:t>
      </w: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 w:rsidR="005F5A44" w:rsidRPr="005F5A44">
        <w:rPr>
          <w:color w:val="auto"/>
          <w:sz w:val="16"/>
          <w:szCs w:val="16"/>
        </w:rPr>
        <w:t>2017</w:t>
      </w:r>
      <w:r w:rsidR="005F5A44">
        <w:rPr>
          <w:color w:val="FF0000"/>
          <w:sz w:val="16"/>
          <w:szCs w:val="16"/>
        </w:rPr>
        <w:t xml:space="preserve"> </w:t>
      </w:r>
      <w:r w:rsidRPr="005E4364">
        <w:rPr>
          <w:sz w:val="16"/>
          <w:szCs w:val="16"/>
        </w:rPr>
        <w:t>by University of Phoenix. All rights reserved.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University of Phoenix® is a registered trademark of Apollo Group, Inc.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Microsoft®, Windows®, and Windows NT® are registered trademarks of Microsoft Corporation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 All other company and product names are trademarks or registered trademarks of their respective companies. Use of these marks is not intended to imply endorsement, sponsorship, or affiliation.</w:t>
      </w:r>
    </w:p>
    <w:p w:rsidR="00172564" w:rsidRPr="005E4364" w:rsidRDefault="00172564" w:rsidP="00172564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t>Edited in accordance with University of Phoenix® editorial standards and practices.</w:t>
      </w:r>
    </w:p>
    <w:p w:rsidR="00086CA8" w:rsidRPr="00D35E33" w:rsidRDefault="00172564" w:rsidP="00645B6F">
      <w:pPr>
        <w:pStyle w:val="Heading1"/>
      </w:pPr>
      <w:r>
        <w:br w:type="page"/>
      </w:r>
      <w:r w:rsidR="00086CA8" w:rsidRPr="00D35E33">
        <w:lastRenderedPageBreak/>
        <w:t xml:space="preserve">Learning Team Assignment: </w:t>
      </w:r>
      <w:r w:rsidR="005F5A44">
        <w:rPr>
          <w:color w:val="auto"/>
        </w:rPr>
        <w:t>Sourcing Strategy</w:t>
      </w:r>
    </w:p>
    <w:p w:rsidR="00086CA8" w:rsidRPr="00D35E33" w:rsidRDefault="00086CA8" w:rsidP="00D35E33"/>
    <w:p w:rsidR="00086CA8" w:rsidRPr="005C2B90" w:rsidRDefault="00086CA8" w:rsidP="00645B6F">
      <w:pPr>
        <w:pStyle w:val="Heading2"/>
      </w:pPr>
      <w:r w:rsidRPr="005C2B90">
        <w:t>Purpose of Assignment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C22A89" w:rsidRPr="00C22A89" w:rsidRDefault="00C22A89" w:rsidP="00CD6A97">
      <w:pPr>
        <w:tabs>
          <w:tab w:val="left" w:pos="360"/>
        </w:tabs>
        <w:ind w:left="360"/>
        <w:rPr>
          <w:color w:val="auto"/>
        </w:rPr>
      </w:pPr>
      <w:r w:rsidRPr="00C22A89">
        <w:rPr>
          <w:color w:val="auto"/>
        </w:rPr>
        <w:t xml:space="preserve">The purpose of this Learning Team assignment is to explore the advantages and disadvantages of outsourcing, and whether or not it may be an appropriate option for companies.  </w:t>
      </w:r>
      <w:r w:rsidR="00CD6A97" w:rsidRPr="00C22A89">
        <w:rPr>
          <w:color w:val="auto"/>
        </w:rPr>
        <w:t xml:space="preserve">Students </w:t>
      </w:r>
      <w:r w:rsidR="00CD6A97">
        <w:rPr>
          <w:color w:val="auto"/>
        </w:rPr>
        <w:t>will explore outsourcing further by reading two sections of the textbook as the basis for part of this assignment.  They</w:t>
      </w:r>
      <w:r w:rsidRPr="00C22A89">
        <w:rPr>
          <w:color w:val="auto"/>
        </w:rPr>
        <w:t xml:space="preserve"> will have the opportunity to select a company to consider the effects of outsourcing on the company’s supply chain.  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086CA8" w:rsidRPr="00463A3D" w:rsidRDefault="00086CA8" w:rsidP="00645B6F">
      <w:pPr>
        <w:pStyle w:val="Heading2"/>
      </w:pPr>
      <w:r w:rsidRPr="00463A3D">
        <w:t>Resources Required</w:t>
      </w:r>
    </w:p>
    <w:p w:rsidR="00086CA8" w:rsidRPr="00463A3D" w:rsidRDefault="00086CA8" w:rsidP="00645B6F">
      <w:pPr>
        <w:tabs>
          <w:tab w:val="left" w:pos="360"/>
        </w:tabs>
        <w:rPr>
          <w:color w:val="auto"/>
        </w:rPr>
      </w:pPr>
    </w:p>
    <w:p w:rsidR="00A8085D" w:rsidRPr="00BB4F91" w:rsidRDefault="005F5A44" w:rsidP="00C658D5">
      <w:pPr>
        <w:pStyle w:val="UPhxBodyText2"/>
        <w:spacing w:before="0"/>
        <w:rPr>
          <w:bCs/>
        </w:rPr>
      </w:pPr>
      <w:r w:rsidRPr="00C658D5">
        <w:rPr>
          <w:bCs/>
          <w:i/>
        </w:rPr>
        <w:t xml:space="preserve">Supply Chain Management: Strategy, Planning, and </w:t>
      </w:r>
      <w:r w:rsidR="00C658D5" w:rsidRPr="00C658D5">
        <w:rPr>
          <w:bCs/>
          <w:i/>
        </w:rPr>
        <w:t>Operation</w:t>
      </w:r>
      <w:r w:rsidR="00C658D5">
        <w:rPr>
          <w:bCs/>
        </w:rPr>
        <w:t xml:space="preserve">, </w:t>
      </w:r>
      <w:r w:rsidR="004425BF">
        <w:rPr>
          <w:bCs/>
        </w:rPr>
        <w:t>Ch. 15 -</w:t>
      </w:r>
      <w:r w:rsidRPr="005F5A44">
        <w:rPr>
          <w:rFonts w:cs="Arial"/>
        </w:rPr>
        <w:t xml:space="preserve">Sections 15.2 In-House or Outsource? </w:t>
      </w:r>
      <w:r w:rsidR="004425BF">
        <w:rPr>
          <w:rFonts w:cs="Arial"/>
        </w:rPr>
        <w:t>(</w:t>
      </w:r>
      <w:proofErr w:type="gramStart"/>
      <w:r w:rsidR="004425BF">
        <w:rPr>
          <w:rFonts w:cs="Arial"/>
        </w:rPr>
        <w:t>pages</w:t>
      </w:r>
      <w:proofErr w:type="gramEnd"/>
      <w:r w:rsidR="004425BF">
        <w:rPr>
          <w:rFonts w:cs="Arial"/>
        </w:rPr>
        <w:t xml:space="preserve"> 435-441), </w:t>
      </w:r>
      <w:r w:rsidRPr="005F5A44">
        <w:rPr>
          <w:rFonts w:cs="Arial"/>
        </w:rPr>
        <w:t>and 15.9 Making Sourcing Dec</w:t>
      </w:r>
      <w:r>
        <w:rPr>
          <w:rFonts w:cs="Arial"/>
        </w:rPr>
        <w:t xml:space="preserve">isions in </w:t>
      </w:r>
      <w:r w:rsidRPr="005F5A44">
        <w:rPr>
          <w:rFonts w:cs="Arial"/>
        </w:rPr>
        <w:t>Practice</w:t>
      </w:r>
      <w:r w:rsidR="004425BF">
        <w:rPr>
          <w:rFonts w:cs="Arial"/>
        </w:rPr>
        <w:t xml:space="preserve">(pages </w:t>
      </w:r>
      <w:r w:rsidR="00BB4F91">
        <w:rPr>
          <w:rFonts w:cs="Arial"/>
        </w:rPr>
        <w:t>463</w:t>
      </w:r>
      <w:r w:rsidR="005F6814">
        <w:rPr>
          <w:rFonts w:cs="Arial"/>
        </w:rPr>
        <w:t>-465</w:t>
      </w:r>
      <w:r w:rsidR="004425BF">
        <w:rPr>
          <w:rFonts w:cs="Arial"/>
        </w:rPr>
        <w:t>)</w:t>
      </w:r>
    </w:p>
    <w:p w:rsidR="00D82D17" w:rsidRDefault="00E50ABD" w:rsidP="00645B6F">
      <w:pPr>
        <w:pStyle w:val="Heading1"/>
      </w:pPr>
      <w:r w:rsidRPr="00A8085D">
        <w:t>Grading Guide</w:t>
      </w:r>
    </w:p>
    <w:p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:rsidTr="00DA4B1A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3015A0" w:rsidRPr="00BD2BA2" w:rsidRDefault="00BD2BA2" w:rsidP="00BD2BA2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3015A0" w:rsidRPr="00590613" w:rsidTr="00BD2BA2">
        <w:trPr>
          <w:trHeight w:val="631"/>
          <w:jc w:val="center"/>
        </w:trPr>
        <w:tc>
          <w:tcPr>
            <w:tcW w:w="0" w:type="auto"/>
          </w:tcPr>
          <w:p w:rsidR="003015A0" w:rsidRPr="00C658D5" w:rsidRDefault="0078394D" w:rsidP="004425BF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>The team p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>rovide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 xml:space="preserve"> 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>a detailed overview of the advantages of outsourcing and aggregation</w:t>
            </w:r>
            <w:r w:rsidR="004425BF">
              <w:rPr>
                <w:rFonts w:eastAsia="Calibri"/>
                <w:bCs/>
                <w:iCs/>
                <w:color w:val="auto"/>
              </w:rPr>
              <w:t>,</w:t>
            </w:r>
            <w:r w:rsidR="004425BF" w:rsidRPr="005F6814">
              <w:rPr>
                <w:rFonts w:eastAsia="Calibri"/>
                <w:bCs/>
                <w:iCs/>
                <w:color w:val="auto"/>
              </w:rPr>
              <w:t xml:space="preserve"> 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>and describe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 xml:space="preserve"> two to three cases of when it may be most effective for a company to pursue outsourcing opportunities.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3015A0" w:rsidRPr="00590613" w:rsidTr="00BD2BA2">
        <w:trPr>
          <w:trHeight w:val="622"/>
          <w:jc w:val="center"/>
        </w:trPr>
        <w:tc>
          <w:tcPr>
            <w:tcW w:w="0" w:type="auto"/>
          </w:tcPr>
          <w:p w:rsidR="003015A0" w:rsidRPr="00C658D5" w:rsidRDefault="0078394D" w:rsidP="0078394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78394D">
              <w:rPr>
                <w:rFonts w:eastAsia="Calibri"/>
                <w:bCs/>
                <w:iCs/>
                <w:color w:val="auto"/>
              </w:rPr>
              <w:t xml:space="preserve">The team </w:t>
            </w:r>
            <w:r>
              <w:rPr>
                <w:rFonts w:eastAsia="Calibri"/>
                <w:bCs/>
                <w:iCs/>
                <w:color w:val="auto"/>
              </w:rPr>
              <w:t>e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>valuate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 xml:space="preserve"> 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>potential risks to using a third party within one’s supply chain, as well as possible consequences for a company’s supply chain if things were to go wrong.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C658D5" w:rsidRDefault="0078394D" w:rsidP="0078394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78394D">
              <w:rPr>
                <w:rFonts w:eastAsia="Calibri"/>
                <w:bCs/>
                <w:iCs/>
                <w:color w:val="auto"/>
              </w:rPr>
              <w:t xml:space="preserve">The team 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>elect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 xml:space="preserve"> 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 xml:space="preserve">a company of </w:t>
            </w:r>
            <w:r>
              <w:rPr>
                <w:rFonts w:eastAsia="Calibri"/>
                <w:bCs/>
                <w:iCs/>
                <w:color w:val="auto"/>
              </w:rPr>
              <w:t>their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 xml:space="preserve"> choosing, and determine</w:t>
            </w:r>
            <w:r w:rsidR="00DB27DF">
              <w:rPr>
                <w:rFonts w:eastAsia="Calibri"/>
                <w:bCs/>
                <w:iCs/>
                <w:color w:val="auto"/>
              </w:rPr>
              <w:t>s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 xml:space="preserve"> one or two products or services that may benefit from outsourced production (e.g. a product with high production costs, high warehousing costs, 24/7 customer service needs, website development/maintenance).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C658D5" w:rsidRPr="00590613" w:rsidTr="00BD2BA2">
        <w:trPr>
          <w:trHeight w:val="537"/>
          <w:jc w:val="center"/>
        </w:trPr>
        <w:tc>
          <w:tcPr>
            <w:tcW w:w="0" w:type="auto"/>
          </w:tcPr>
          <w:p w:rsidR="00C658D5" w:rsidRPr="00C658D5" w:rsidRDefault="0078394D" w:rsidP="0078394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78394D">
              <w:rPr>
                <w:rFonts w:eastAsia="Calibri"/>
                <w:bCs/>
                <w:iCs/>
                <w:color w:val="auto"/>
              </w:rPr>
              <w:t xml:space="preserve">The team </w:t>
            </w:r>
            <w:r>
              <w:rPr>
                <w:rFonts w:eastAsia="Calibri"/>
                <w:bCs/>
                <w:iCs/>
                <w:color w:val="auto"/>
              </w:rPr>
              <w:t>d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>etermine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 xml:space="preserve"> 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>the product lead time needed, and develop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 xml:space="preserve"> a timeline from the initiation of the project to project completion.</w:t>
            </w:r>
          </w:p>
        </w:tc>
        <w:tc>
          <w:tcPr>
            <w:tcW w:w="841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C658D5" w:rsidRPr="00BD2BA2" w:rsidRDefault="00C658D5" w:rsidP="00D35E33">
            <w:pPr>
              <w:rPr>
                <w:color w:val="auto"/>
              </w:rPr>
            </w:pPr>
          </w:p>
        </w:tc>
      </w:tr>
      <w:tr w:rsidR="00C658D5" w:rsidRPr="00590613" w:rsidTr="00BD2BA2">
        <w:trPr>
          <w:trHeight w:val="537"/>
          <w:jc w:val="center"/>
        </w:trPr>
        <w:tc>
          <w:tcPr>
            <w:tcW w:w="0" w:type="auto"/>
          </w:tcPr>
          <w:p w:rsidR="00C658D5" w:rsidRPr="00C658D5" w:rsidRDefault="0078394D" w:rsidP="0078394D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78394D">
              <w:rPr>
                <w:rFonts w:eastAsia="Calibri"/>
                <w:bCs/>
                <w:iCs/>
                <w:color w:val="auto"/>
              </w:rPr>
              <w:t xml:space="preserve">The team </w:t>
            </w:r>
            <w:r>
              <w:rPr>
                <w:rFonts w:eastAsia="Calibri"/>
                <w:bCs/>
                <w:iCs/>
                <w:color w:val="auto"/>
              </w:rPr>
              <w:t>r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>esearch</w:t>
            </w:r>
            <w:r w:rsidR="00C658D5">
              <w:rPr>
                <w:rFonts w:eastAsia="Calibri"/>
                <w:bCs/>
                <w:iCs/>
                <w:color w:val="auto"/>
              </w:rPr>
              <w:t>e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 xml:space="preserve"> 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>third parties for possible outsourcing opportunities, and apprais</w:t>
            </w:r>
            <w:r w:rsidR="00DB27DF">
              <w:rPr>
                <w:rFonts w:eastAsia="Calibri"/>
                <w:bCs/>
                <w:iCs/>
                <w:color w:val="auto"/>
              </w:rPr>
              <w:t>e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 xml:space="preserve"> the third party's estimated labor and production costs, warehousing capacity, transportation modes/channels, quality assurance practices, and other relevant factors as applicable.</w:t>
            </w:r>
          </w:p>
        </w:tc>
        <w:tc>
          <w:tcPr>
            <w:tcW w:w="841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C658D5" w:rsidRPr="00BD2BA2" w:rsidRDefault="00C658D5" w:rsidP="00D35E33">
            <w:pPr>
              <w:rPr>
                <w:color w:val="auto"/>
              </w:rPr>
            </w:pPr>
          </w:p>
        </w:tc>
      </w:tr>
      <w:tr w:rsidR="00C658D5" w:rsidRPr="00590613" w:rsidTr="00BD2BA2">
        <w:trPr>
          <w:trHeight w:val="537"/>
          <w:jc w:val="center"/>
        </w:trPr>
        <w:tc>
          <w:tcPr>
            <w:tcW w:w="0" w:type="auto"/>
          </w:tcPr>
          <w:p w:rsidR="00C658D5" w:rsidRPr="00C658D5" w:rsidRDefault="0078394D" w:rsidP="004425BF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78394D">
              <w:rPr>
                <w:rFonts w:eastAsia="Calibri"/>
                <w:bCs/>
                <w:iCs/>
                <w:color w:val="auto"/>
              </w:rPr>
              <w:t xml:space="preserve">The team </w:t>
            </w:r>
            <w:r>
              <w:rPr>
                <w:rFonts w:eastAsia="Calibri"/>
                <w:bCs/>
                <w:iCs/>
                <w:color w:val="auto"/>
              </w:rPr>
              <w:t>a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>ssess</w:t>
            </w:r>
            <w:r>
              <w:rPr>
                <w:rFonts w:eastAsia="Calibri"/>
                <w:bCs/>
                <w:iCs/>
                <w:color w:val="auto"/>
              </w:rPr>
              <w:t>es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 xml:space="preserve"> 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>potential problems and solutions</w:t>
            </w:r>
            <w:r w:rsidR="004425BF">
              <w:rPr>
                <w:rFonts w:eastAsia="Calibri"/>
                <w:bCs/>
                <w:iCs/>
                <w:color w:val="auto"/>
              </w:rPr>
              <w:t>,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 xml:space="preserve"> in each of these areas.</w:t>
            </w:r>
          </w:p>
        </w:tc>
        <w:tc>
          <w:tcPr>
            <w:tcW w:w="841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C658D5" w:rsidRPr="00BD2BA2" w:rsidRDefault="00C658D5" w:rsidP="00D35E33">
            <w:pPr>
              <w:rPr>
                <w:color w:val="auto"/>
              </w:rPr>
            </w:pPr>
          </w:p>
        </w:tc>
      </w:tr>
      <w:tr w:rsidR="00C658D5" w:rsidRPr="00590613" w:rsidTr="00BD2BA2">
        <w:trPr>
          <w:trHeight w:val="537"/>
          <w:jc w:val="center"/>
        </w:trPr>
        <w:tc>
          <w:tcPr>
            <w:tcW w:w="0" w:type="auto"/>
          </w:tcPr>
          <w:p w:rsidR="005F6814" w:rsidRPr="005F6814" w:rsidRDefault="0078394D" w:rsidP="005F6814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78394D">
              <w:rPr>
                <w:rFonts w:eastAsia="Calibri"/>
                <w:bCs/>
                <w:iCs/>
                <w:color w:val="auto"/>
              </w:rPr>
              <w:t xml:space="preserve">The team </w:t>
            </w:r>
            <w:r>
              <w:rPr>
                <w:rFonts w:eastAsia="Calibri"/>
                <w:bCs/>
                <w:iCs/>
                <w:color w:val="auto"/>
              </w:rPr>
              <w:t>d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>etermine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="00C658D5" w:rsidRPr="00C658D5">
              <w:rPr>
                <w:rFonts w:eastAsia="Calibri"/>
                <w:bCs/>
                <w:iCs/>
                <w:color w:val="auto"/>
              </w:rPr>
              <w:t xml:space="preserve"> 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 xml:space="preserve">whether or not it makes sense for the company to outsource its product or service based upon a comparison of all of the variables involved, and 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lastRenderedPageBreak/>
              <w:t>summarize</w:t>
            </w:r>
            <w:r>
              <w:rPr>
                <w:rFonts w:eastAsia="Calibri"/>
                <w:bCs/>
                <w:iCs/>
                <w:color w:val="auto"/>
              </w:rPr>
              <w:t>s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 xml:space="preserve"> </w:t>
            </w:r>
            <w:r>
              <w:rPr>
                <w:rFonts w:eastAsia="Calibri"/>
                <w:bCs/>
                <w:iCs/>
                <w:color w:val="auto"/>
              </w:rPr>
              <w:t xml:space="preserve">their </w:t>
            </w:r>
            <w:r w:rsidR="005F6814" w:rsidRPr="005F6814">
              <w:rPr>
                <w:rFonts w:eastAsia="Calibri"/>
                <w:bCs/>
                <w:iCs/>
                <w:color w:val="auto"/>
              </w:rPr>
              <w:t>conclusions using relevant examples.</w:t>
            </w:r>
          </w:p>
          <w:p w:rsidR="00C658D5" w:rsidRPr="00C658D5" w:rsidRDefault="00C658D5" w:rsidP="008336F9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C658D5" w:rsidRPr="00BD2BA2" w:rsidRDefault="00C658D5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C658D5" w:rsidRPr="00BD2BA2" w:rsidRDefault="00C658D5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BD2BA2" w:rsidRDefault="003015A0" w:rsidP="00C211A9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BD2BA2">
              <w:rPr>
                <w:color w:val="auto"/>
              </w:rPr>
              <w:t xml:space="preserve">The paper is </w:t>
            </w:r>
            <w:r w:rsidR="00C211A9">
              <w:rPr>
                <w:color w:val="auto"/>
              </w:rPr>
              <w:t>700</w:t>
            </w:r>
            <w:r w:rsidR="2D005D51" w:rsidRPr="008336F9">
              <w:rPr>
                <w:color w:val="auto"/>
              </w:rPr>
              <w:t xml:space="preserve"> to </w:t>
            </w:r>
            <w:r w:rsidR="008336F9" w:rsidRPr="008336F9">
              <w:rPr>
                <w:rFonts w:eastAsia="Arial"/>
                <w:color w:val="auto"/>
              </w:rPr>
              <w:t>1,</w:t>
            </w:r>
            <w:r w:rsidR="00C211A9">
              <w:rPr>
                <w:rFonts w:eastAsia="Arial"/>
                <w:color w:val="auto"/>
              </w:rPr>
              <w:t>050</w:t>
            </w:r>
            <w:r w:rsidR="00695BF5" w:rsidRPr="00BD2BA2">
              <w:rPr>
                <w:rFonts w:eastAsia="Arial"/>
                <w:color w:val="auto"/>
              </w:rPr>
              <w:t xml:space="preserve"> </w:t>
            </w:r>
            <w:r w:rsidRPr="00BD2BA2">
              <w:rPr>
                <w:color w:val="auto"/>
              </w:rPr>
              <w:t>words in length.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8336F9" w:rsidTr="00BD2BA2">
        <w:trPr>
          <w:trHeight w:val="537"/>
          <w:jc w:val="center"/>
        </w:trPr>
        <w:tc>
          <w:tcPr>
            <w:tcW w:w="0" w:type="auto"/>
          </w:tcPr>
          <w:p w:rsidR="003015A0" w:rsidRPr="008336F9" w:rsidRDefault="003015A0" w:rsidP="00D35E33">
            <w:pPr>
              <w:jc w:val="right"/>
              <w:rPr>
                <w:color w:val="auto"/>
              </w:rPr>
            </w:pPr>
          </w:p>
          <w:p w:rsidR="00DA4B1A" w:rsidRPr="008336F9" w:rsidRDefault="00DA4B1A" w:rsidP="00DA4B1A">
            <w:pPr>
              <w:rPr>
                <w:color w:val="auto"/>
              </w:rPr>
            </w:pPr>
          </w:p>
          <w:p w:rsidR="0049747D" w:rsidRPr="008336F9" w:rsidRDefault="0049747D" w:rsidP="00DA4B1A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3015A0" w:rsidRPr="008336F9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8336F9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8336F9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8336F9" w:rsidRDefault="003015A0" w:rsidP="00D35E33">
            <w:pPr>
              <w:jc w:val="center"/>
              <w:rPr>
                <w:color w:val="auto"/>
              </w:rPr>
            </w:pPr>
            <w:r w:rsidRPr="008336F9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3015A0" w:rsidRPr="008336F9" w:rsidRDefault="003015A0" w:rsidP="00D35E33">
            <w:pPr>
              <w:rPr>
                <w:color w:val="auto"/>
              </w:rPr>
            </w:pPr>
          </w:p>
        </w:tc>
      </w:tr>
      <w:tr w:rsidR="003015A0" w:rsidRPr="008336F9" w:rsidTr="00BD2BA2">
        <w:trPr>
          <w:trHeight w:val="203"/>
          <w:jc w:val="center"/>
        </w:trPr>
        <w:tc>
          <w:tcPr>
            <w:tcW w:w="0" w:type="auto"/>
          </w:tcPr>
          <w:p w:rsidR="003015A0" w:rsidRPr="008336F9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015A0" w:rsidRPr="008336F9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3015A0" w:rsidRPr="008336F9" w:rsidRDefault="004425BF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10.5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3015A0" w:rsidRPr="008336F9" w:rsidRDefault="00086CA8" w:rsidP="004425BF">
            <w:pPr>
              <w:jc w:val="center"/>
              <w:rPr>
                <w:color w:val="auto"/>
              </w:rPr>
            </w:pPr>
            <w:r w:rsidRPr="008336F9">
              <w:rPr>
                <w:color w:val="auto"/>
              </w:rPr>
              <w:t>#</w:t>
            </w:r>
            <w:r w:rsidR="003015A0" w:rsidRPr="008336F9">
              <w:rPr>
                <w:color w:val="auto"/>
              </w:rPr>
              <w:t>/</w:t>
            </w:r>
            <w:r w:rsidR="004425BF">
              <w:rPr>
                <w:color w:val="auto"/>
              </w:rPr>
              <w:t>10.5</w:t>
            </w:r>
          </w:p>
        </w:tc>
        <w:tc>
          <w:tcPr>
            <w:tcW w:w="2867" w:type="dxa"/>
          </w:tcPr>
          <w:p w:rsidR="003015A0" w:rsidRPr="008336F9" w:rsidRDefault="003015A0" w:rsidP="00D35E33">
            <w:pPr>
              <w:rPr>
                <w:color w:val="auto"/>
              </w:rPr>
            </w:pPr>
          </w:p>
        </w:tc>
      </w:tr>
    </w:tbl>
    <w:p w:rsidR="00124E29" w:rsidRPr="008336F9" w:rsidRDefault="00124E29" w:rsidP="00D82D17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1"/>
        <w:gridCol w:w="810"/>
        <w:gridCol w:w="1170"/>
        <w:gridCol w:w="909"/>
        <w:gridCol w:w="2868"/>
      </w:tblGrid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8336F9">
              <w:rPr>
                <w:b/>
                <w:bCs/>
                <w:iCs/>
                <w:color w:val="auto"/>
              </w:rPr>
              <w:t>Writing Guidelines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B454DB">
            <w:pPr>
              <w:jc w:val="center"/>
              <w:rPr>
                <w:color w:val="auto"/>
              </w:rPr>
            </w:pPr>
            <w:r w:rsidRPr="008336F9">
              <w:rPr>
                <w:color w:val="auto"/>
              </w:rPr>
              <w:t>Met</w:t>
            </w: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B454DB">
            <w:pPr>
              <w:jc w:val="center"/>
              <w:rPr>
                <w:color w:val="auto"/>
              </w:rPr>
            </w:pPr>
            <w:r w:rsidRPr="008336F9">
              <w:rPr>
                <w:color w:val="auto"/>
              </w:rPr>
              <w:t>Partially Met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B454DB">
            <w:pPr>
              <w:jc w:val="center"/>
              <w:rPr>
                <w:color w:val="auto"/>
              </w:rPr>
            </w:pPr>
            <w:r w:rsidRPr="008336F9">
              <w:rPr>
                <w:color w:val="auto"/>
              </w:rPr>
              <w:t>Not Met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B454DB">
            <w:pPr>
              <w:jc w:val="center"/>
              <w:rPr>
                <w:color w:val="auto"/>
              </w:rPr>
            </w:pPr>
            <w:r w:rsidRPr="008336F9">
              <w:rPr>
                <w:color w:val="auto"/>
              </w:rPr>
              <w:t>Comments:</w:t>
            </w:r>
          </w:p>
        </w:tc>
      </w:tr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8336F9">
              <w:rPr>
                <w:b/>
                <w:bCs/>
                <w:iCs/>
                <w:color w:val="auto"/>
              </w:rPr>
              <w:t>Organization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B454DB">
            <w:pPr>
              <w:jc w:val="center"/>
              <w:rPr>
                <w:color w:val="auto"/>
              </w:rPr>
            </w:pPr>
          </w:p>
        </w:tc>
      </w:tr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8336F9">
              <w:rPr>
                <w:bCs/>
                <w:iCs/>
                <w:color w:val="auto"/>
              </w:rPr>
              <w:t>The tone is appropriate to the content and assignment.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8336F9">
              <w:rPr>
                <w:bCs/>
                <w:iCs/>
                <w:color w:val="auto"/>
              </w:rPr>
              <w:t>The introduction provides a sufficient background on the topic and previews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8336F9">
              <w:rPr>
                <w:bCs/>
                <w:iCs/>
                <w:color w:val="auto"/>
              </w:rPr>
              <w:t>Paragraph transitions are present, logical, and maintain the flow throughout the paper.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8336F9">
              <w:rPr>
                <w:bCs/>
                <w:iCs/>
                <w:color w:val="auto"/>
              </w:rPr>
              <w:t>The conclusion is logical, flows from the body of the paper, and reviews the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8336F9">
              <w:rPr>
                <w:b/>
                <w:bCs/>
                <w:iCs/>
                <w:color w:val="auto"/>
              </w:rPr>
              <w:t>Mechanics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8336F9">
              <w:rPr>
                <w:bCs/>
                <w:iCs/>
                <w:color w:val="auto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8336F9">
              <w:rPr>
                <w:bCs/>
                <w:iCs/>
                <w:color w:val="auto"/>
              </w:rPr>
              <w:t>Intellectual property is recognized with in-text citations and a reference page.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8336F9">
              <w:rPr>
                <w:bCs/>
                <w:iCs/>
                <w:color w:val="auto"/>
              </w:rPr>
              <w:t>Sentences are complete, clear, and concise.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rPr>
                <w:bCs/>
                <w:iCs/>
                <w:color w:val="auto"/>
              </w:rPr>
            </w:pPr>
            <w:r w:rsidRPr="008336F9">
              <w:rPr>
                <w:bCs/>
                <w:iCs/>
                <w:color w:val="auto"/>
              </w:rPr>
              <w:t>Rules of grammar and usage are followed including spelling and punctuation.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8336F9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  <w:r w:rsidRPr="008336F9">
              <w:rPr>
                <w:b/>
                <w:color w:val="auto"/>
              </w:rPr>
              <w:t>Total Available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B454DB">
            <w:pPr>
              <w:jc w:val="center"/>
              <w:rPr>
                <w:b/>
                <w:color w:val="auto"/>
              </w:rPr>
            </w:pPr>
            <w:r w:rsidRPr="008336F9">
              <w:rPr>
                <w:b/>
                <w:color w:val="auto"/>
              </w:rPr>
              <w:t>Total Earned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8336F9" w:rsidTr="00A96B87">
        <w:trPr>
          <w:trHeight w:val="199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8336F9">
              <w:rPr>
                <w:b/>
                <w:bCs/>
                <w:iCs/>
                <w:color w:val="auto"/>
              </w:rPr>
              <w:t> 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124E29" w:rsidRPr="008336F9" w:rsidRDefault="00893820" w:rsidP="00124E29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4</w:t>
            </w:r>
            <w:r w:rsidR="004425BF">
              <w:rPr>
                <w:color w:val="auto"/>
              </w:rPr>
              <w:t>.5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124E29" w:rsidRPr="008336F9" w:rsidRDefault="00124E29" w:rsidP="00893820">
            <w:pPr>
              <w:jc w:val="center"/>
              <w:rPr>
                <w:color w:val="auto"/>
              </w:rPr>
            </w:pPr>
            <w:r w:rsidRPr="008336F9">
              <w:rPr>
                <w:color w:val="auto"/>
              </w:rPr>
              <w:t>#/</w:t>
            </w:r>
            <w:r w:rsidR="00893820">
              <w:rPr>
                <w:color w:val="auto"/>
              </w:rPr>
              <w:t>4</w:t>
            </w:r>
            <w:r w:rsidR="004425BF">
              <w:rPr>
                <w:color w:val="auto"/>
              </w:rPr>
              <w:t>.5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</w:tbl>
    <w:p w:rsidR="00124E29" w:rsidRPr="008336F9" w:rsidRDefault="00124E29" w:rsidP="00124E29">
      <w:pPr>
        <w:rPr>
          <w:color w:val="auto"/>
        </w:rPr>
      </w:pPr>
    </w:p>
    <w:p w:rsidR="00124E29" w:rsidRPr="008336F9" w:rsidRDefault="00124E29" w:rsidP="00124E29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8336F9" w:rsidRPr="008336F9" w:rsidTr="00B454DB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124E29" w:rsidRPr="008336F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8336F9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124E29" w:rsidRPr="008336F9" w:rsidRDefault="00124E29" w:rsidP="00124E29">
            <w:pPr>
              <w:jc w:val="center"/>
              <w:rPr>
                <w:b/>
                <w:color w:val="auto"/>
              </w:rPr>
            </w:pPr>
            <w:r w:rsidRPr="008336F9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124E29" w:rsidRPr="008336F9" w:rsidRDefault="008336F9" w:rsidP="00124E29">
            <w:pPr>
              <w:jc w:val="center"/>
              <w:rPr>
                <w:b/>
                <w:color w:val="auto"/>
              </w:rPr>
            </w:pPr>
            <w:r w:rsidRPr="008336F9">
              <w:rPr>
                <w:b/>
                <w:color w:val="auto"/>
              </w:rPr>
              <w:t>1</w:t>
            </w:r>
            <w:r w:rsidR="00893820">
              <w:rPr>
                <w:b/>
                <w:color w:val="auto"/>
              </w:rPr>
              <w:t>5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124E29" w:rsidRPr="008336F9" w:rsidRDefault="00124E29" w:rsidP="00893820">
            <w:pPr>
              <w:jc w:val="center"/>
              <w:rPr>
                <w:b/>
                <w:color w:val="auto"/>
              </w:rPr>
            </w:pPr>
            <w:r w:rsidRPr="008336F9">
              <w:rPr>
                <w:b/>
                <w:color w:val="auto"/>
              </w:rPr>
              <w:t>#/</w:t>
            </w:r>
            <w:r w:rsidR="008336F9" w:rsidRPr="008336F9">
              <w:rPr>
                <w:b/>
                <w:color w:val="auto"/>
              </w:rPr>
              <w:t>1</w:t>
            </w:r>
            <w:r w:rsidR="00893820">
              <w:rPr>
                <w:b/>
                <w:color w:val="auto"/>
              </w:rPr>
              <w:t>5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124E29" w:rsidRPr="008336F9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1764BB" w:rsidTr="00B454DB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124E29" w:rsidRDefault="00124E29" w:rsidP="00B454DB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124E29" w:rsidRDefault="00124E29" w:rsidP="00B454DB">
            <w:pPr>
              <w:tabs>
                <w:tab w:val="left" w:pos="3605"/>
              </w:tabs>
            </w:pPr>
          </w:p>
          <w:p w:rsidR="00124E29" w:rsidRDefault="00124E29" w:rsidP="00B454DB">
            <w:pPr>
              <w:tabs>
                <w:tab w:val="left" w:pos="3605"/>
              </w:tabs>
            </w:pPr>
          </w:p>
          <w:p w:rsidR="00124E29" w:rsidRPr="001764BB" w:rsidRDefault="00124E29" w:rsidP="00B454DB">
            <w:pPr>
              <w:tabs>
                <w:tab w:val="left" w:pos="3605"/>
              </w:tabs>
            </w:pPr>
          </w:p>
        </w:tc>
      </w:tr>
    </w:tbl>
    <w:p w:rsidR="0049747D" w:rsidRPr="00D82D17" w:rsidRDefault="0049747D" w:rsidP="00D82D17"/>
    <w:sectPr w:rsidR="0049747D" w:rsidRPr="00D82D17" w:rsidSect="00172564">
      <w:headerReference w:type="default" r:id="rId13"/>
      <w:footerReference w:type="default" r:id="rId14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F1" w:rsidRDefault="00F43BF1">
      <w:r>
        <w:separator/>
      </w:r>
    </w:p>
  </w:endnote>
  <w:endnote w:type="continuationSeparator" w:id="0">
    <w:p w:rsidR="00F43BF1" w:rsidRDefault="00F4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enix Sans Regular">
    <w:panose1 w:val="00000000000000000000"/>
    <w:charset w:val="4D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F1" w:rsidRDefault="00F43BF1">
      <w:r>
        <w:separator/>
      </w:r>
    </w:p>
  </w:footnote>
  <w:footnote w:type="continuationSeparator" w:id="0">
    <w:p w:rsidR="00F43BF1" w:rsidRDefault="00F4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26"/>
      <w:gridCol w:w="423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5F5A44" w:rsidP="00645B6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Sourcing Strategy</w:t>
          </w:r>
          <w:r w:rsidR="003015A0" w:rsidRPr="00BD2BA2">
            <w:rPr>
              <w:sz w:val="16"/>
              <w:szCs w:val="16"/>
            </w:rPr>
            <w:t xml:space="preserve"> Grading Guide</w:t>
          </w:r>
        </w:p>
        <w:p w:rsidR="003015A0" w:rsidRPr="00BD2BA2" w:rsidRDefault="005F5A44" w:rsidP="005F5A44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ISCOM</w:t>
          </w:r>
          <w:r w:rsidR="003015A0" w:rsidRPr="00BD2BA2">
            <w:rPr>
              <w:b/>
              <w:bCs/>
              <w:sz w:val="16"/>
              <w:szCs w:val="16"/>
            </w:rPr>
            <w:t>/</w:t>
          </w:r>
          <w:r>
            <w:rPr>
              <w:b/>
              <w:bCs/>
              <w:sz w:val="16"/>
              <w:szCs w:val="16"/>
            </w:rPr>
            <w:t>370</w:t>
          </w:r>
          <w:r w:rsidR="003015A0" w:rsidRPr="00BD2BA2">
            <w:rPr>
              <w:b/>
              <w:bCs/>
              <w:sz w:val="16"/>
              <w:szCs w:val="16"/>
            </w:rPr>
            <w:t xml:space="preserve"> Version </w:t>
          </w:r>
          <w:r>
            <w:rPr>
              <w:b/>
              <w:bCs/>
              <w:sz w:val="16"/>
              <w:szCs w:val="16"/>
            </w:rPr>
            <w:t>5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3015A0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717879">
            <w:rPr>
              <w:rStyle w:val="PageNumber"/>
              <w:noProof/>
              <w:color w:val="auto"/>
              <w:sz w:val="16"/>
              <w:szCs w:val="16"/>
            </w:rPr>
            <w:t>3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7A"/>
    <w:rsid w:val="000044E4"/>
    <w:rsid w:val="000060E5"/>
    <w:rsid w:val="00012FE6"/>
    <w:rsid w:val="00036029"/>
    <w:rsid w:val="00057003"/>
    <w:rsid w:val="00060131"/>
    <w:rsid w:val="00077A4E"/>
    <w:rsid w:val="00086C1D"/>
    <w:rsid w:val="00086CA8"/>
    <w:rsid w:val="00094851"/>
    <w:rsid w:val="000B2CB9"/>
    <w:rsid w:val="00124E29"/>
    <w:rsid w:val="0013348F"/>
    <w:rsid w:val="00161489"/>
    <w:rsid w:val="00172564"/>
    <w:rsid w:val="00182B66"/>
    <w:rsid w:val="001A1F1F"/>
    <w:rsid w:val="001A2721"/>
    <w:rsid w:val="001B548F"/>
    <w:rsid w:val="001E3666"/>
    <w:rsid w:val="001E7F56"/>
    <w:rsid w:val="00211F51"/>
    <w:rsid w:val="002144C7"/>
    <w:rsid w:val="00270FCA"/>
    <w:rsid w:val="00271B05"/>
    <w:rsid w:val="00271B7E"/>
    <w:rsid w:val="00291C43"/>
    <w:rsid w:val="002955C0"/>
    <w:rsid w:val="002D0FB7"/>
    <w:rsid w:val="003015A0"/>
    <w:rsid w:val="0032133E"/>
    <w:rsid w:val="0032718A"/>
    <w:rsid w:val="00330EC9"/>
    <w:rsid w:val="00337060"/>
    <w:rsid w:val="003B1CAD"/>
    <w:rsid w:val="003E12D0"/>
    <w:rsid w:val="0040332E"/>
    <w:rsid w:val="00407109"/>
    <w:rsid w:val="00412AF9"/>
    <w:rsid w:val="00416578"/>
    <w:rsid w:val="00422EA1"/>
    <w:rsid w:val="0043613B"/>
    <w:rsid w:val="004425BF"/>
    <w:rsid w:val="00461DF8"/>
    <w:rsid w:val="00463A3D"/>
    <w:rsid w:val="00481B49"/>
    <w:rsid w:val="004871AD"/>
    <w:rsid w:val="00494D2D"/>
    <w:rsid w:val="0049747D"/>
    <w:rsid w:val="004D12E2"/>
    <w:rsid w:val="004D6163"/>
    <w:rsid w:val="004D6A49"/>
    <w:rsid w:val="004F667B"/>
    <w:rsid w:val="005245E2"/>
    <w:rsid w:val="00551275"/>
    <w:rsid w:val="00567DC0"/>
    <w:rsid w:val="00585286"/>
    <w:rsid w:val="00590613"/>
    <w:rsid w:val="005931B8"/>
    <w:rsid w:val="005D561A"/>
    <w:rsid w:val="005D6656"/>
    <w:rsid w:val="005D7345"/>
    <w:rsid w:val="005E29F3"/>
    <w:rsid w:val="005F1ED4"/>
    <w:rsid w:val="005F5A44"/>
    <w:rsid w:val="005F6242"/>
    <w:rsid w:val="005F6814"/>
    <w:rsid w:val="0061656B"/>
    <w:rsid w:val="00645B6F"/>
    <w:rsid w:val="006822AB"/>
    <w:rsid w:val="0068522F"/>
    <w:rsid w:val="00695BF5"/>
    <w:rsid w:val="006C2DD4"/>
    <w:rsid w:val="006C47F8"/>
    <w:rsid w:val="006D594B"/>
    <w:rsid w:val="006E100F"/>
    <w:rsid w:val="006F0B89"/>
    <w:rsid w:val="006F1340"/>
    <w:rsid w:val="00717879"/>
    <w:rsid w:val="0072789D"/>
    <w:rsid w:val="00727FED"/>
    <w:rsid w:val="00745C01"/>
    <w:rsid w:val="00754386"/>
    <w:rsid w:val="007747A0"/>
    <w:rsid w:val="0078394D"/>
    <w:rsid w:val="0078788D"/>
    <w:rsid w:val="00797EBE"/>
    <w:rsid w:val="007C47BE"/>
    <w:rsid w:val="007C6B9A"/>
    <w:rsid w:val="007D1F98"/>
    <w:rsid w:val="007D786D"/>
    <w:rsid w:val="007E0E85"/>
    <w:rsid w:val="007F0F4A"/>
    <w:rsid w:val="00814F18"/>
    <w:rsid w:val="008234EA"/>
    <w:rsid w:val="008258B2"/>
    <w:rsid w:val="008336F9"/>
    <w:rsid w:val="00857CDC"/>
    <w:rsid w:val="008644F3"/>
    <w:rsid w:val="00875A02"/>
    <w:rsid w:val="00882033"/>
    <w:rsid w:val="00893820"/>
    <w:rsid w:val="00894C7F"/>
    <w:rsid w:val="00895D09"/>
    <w:rsid w:val="008B325B"/>
    <w:rsid w:val="008C5486"/>
    <w:rsid w:val="008F3B4E"/>
    <w:rsid w:val="0093036F"/>
    <w:rsid w:val="00935BA0"/>
    <w:rsid w:val="009656E1"/>
    <w:rsid w:val="009961E5"/>
    <w:rsid w:val="009A7811"/>
    <w:rsid w:val="009B4D21"/>
    <w:rsid w:val="009B7972"/>
    <w:rsid w:val="009C10BC"/>
    <w:rsid w:val="009E1597"/>
    <w:rsid w:val="00A1387A"/>
    <w:rsid w:val="00A6557A"/>
    <w:rsid w:val="00A66014"/>
    <w:rsid w:val="00A71C08"/>
    <w:rsid w:val="00A8085D"/>
    <w:rsid w:val="00A833CD"/>
    <w:rsid w:val="00A96B87"/>
    <w:rsid w:val="00AC05B0"/>
    <w:rsid w:val="00AE1915"/>
    <w:rsid w:val="00AE5932"/>
    <w:rsid w:val="00AF72FA"/>
    <w:rsid w:val="00B02E4E"/>
    <w:rsid w:val="00B17743"/>
    <w:rsid w:val="00B41633"/>
    <w:rsid w:val="00B454DB"/>
    <w:rsid w:val="00B53670"/>
    <w:rsid w:val="00B839EE"/>
    <w:rsid w:val="00B859A5"/>
    <w:rsid w:val="00B92F64"/>
    <w:rsid w:val="00BB4F91"/>
    <w:rsid w:val="00BD2BA2"/>
    <w:rsid w:val="00BD3069"/>
    <w:rsid w:val="00BD5ADE"/>
    <w:rsid w:val="00BF2177"/>
    <w:rsid w:val="00BF7614"/>
    <w:rsid w:val="00C211A9"/>
    <w:rsid w:val="00C22A89"/>
    <w:rsid w:val="00C275FB"/>
    <w:rsid w:val="00C37AF4"/>
    <w:rsid w:val="00C5498D"/>
    <w:rsid w:val="00C658D5"/>
    <w:rsid w:val="00C86EAD"/>
    <w:rsid w:val="00C9659B"/>
    <w:rsid w:val="00CB3908"/>
    <w:rsid w:val="00CD62E7"/>
    <w:rsid w:val="00CD6A97"/>
    <w:rsid w:val="00CD6E6E"/>
    <w:rsid w:val="00CD6EB8"/>
    <w:rsid w:val="00CE1A87"/>
    <w:rsid w:val="00CE3A5E"/>
    <w:rsid w:val="00CF1A8D"/>
    <w:rsid w:val="00D23E71"/>
    <w:rsid w:val="00D35E33"/>
    <w:rsid w:val="00D61A15"/>
    <w:rsid w:val="00D82D17"/>
    <w:rsid w:val="00DA4B1A"/>
    <w:rsid w:val="00DB27DF"/>
    <w:rsid w:val="00DB52F1"/>
    <w:rsid w:val="00DD0750"/>
    <w:rsid w:val="00DE5720"/>
    <w:rsid w:val="00DF2152"/>
    <w:rsid w:val="00E22F06"/>
    <w:rsid w:val="00E33393"/>
    <w:rsid w:val="00E35528"/>
    <w:rsid w:val="00E4383C"/>
    <w:rsid w:val="00E50ABD"/>
    <w:rsid w:val="00E56629"/>
    <w:rsid w:val="00E9188E"/>
    <w:rsid w:val="00EB0AC2"/>
    <w:rsid w:val="00ED7C34"/>
    <w:rsid w:val="00EE3162"/>
    <w:rsid w:val="00EE7177"/>
    <w:rsid w:val="00EF6854"/>
    <w:rsid w:val="00F01759"/>
    <w:rsid w:val="00F03D2A"/>
    <w:rsid w:val="00F07D09"/>
    <w:rsid w:val="00F12078"/>
    <w:rsid w:val="00F266A9"/>
    <w:rsid w:val="00F43BF1"/>
    <w:rsid w:val="00F64976"/>
    <w:rsid w:val="00F82592"/>
    <w:rsid w:val="00F91D0A"/>
    <w:rsid w:val="00F955BB"/>
    <w:rsid w:val="00FD512B"/>
    <w:rsid w:val="00FF4A5F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22342-062A-4C5E-8714-D98F3E87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6F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645B6F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B6F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customStyle="1" w:styleId="Heading1Char">
    <w:name w:val="Heading 1 Char"/>
    <w:link w:val="Heading1"/>
    <w:rsid w:val="00645B6F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link w:val="Heading2"/>
    <w:rsid w:val="00645B6F"/>
    <w:rPr>
      <w:rFonts w:ascii="Arial" w:eastAsia="Times New Roman" w:hAnsi="Arial" w:cs="Times New Roman"/>
      <w:b/>
      <w:bCs/>
      <w:i/>
      <w:iCs/>
      <w:color w:val="000000"/>
      <w:szCs w:val="28"/>
    </w:rPr>
  </w:style>
  <w:style w:type="paragraph" w:styleId="NoSpacing">
    <w:name w:val="No Spacing"/>
    <w:uiPriority w:val="1"/>
    <w:qFormat/>
    <w:rsid w:val="00172564"/>
    <w:pPr>
      <w:tabs>
        <w:tab w:val="left" w:pos="547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DCE4B9-4976-44BB-B326-A83C364126CC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F6E2098-CAE0-484D-A16F-07D0E7F1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subject/>
  <dc:creator>Apollo Group, Inc.</dc:creator>
  <cp:keywords/>
  <cp:lastModifiedBy>Pennie Maholland</cp:lastModifiedBy>
  <cp:revision>4</cp:revision>
  <cp:lastPrinted>2007-05-08T20:15:00Z</cp:lastPrinted>
  <dcterms:created xsi:type="dcterms:W3CDTF">2017-04-17T18:55:00Z</dcterms:created>
  <dcterms:modified xsi:type="dcterms:W3CDTF">2017-04-18T20:08:00Z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