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64" w:rsidRDefault="00ED19C6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bookmarkStart w:id="0" w:name="_GoBack"/>
      <w:bookmarkEnd w:id="0"/>
    </w:p>
    <w:p w:rsidR="00172564" w:rsidRPr="00626C0F" w:rsidRDefault="00B565C5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color w:val="auto"/>
          <w:sz w:val="44"/>
          <w:szCs w:val="44"/>
        </w:rPr>
      </w:pPr>
      <w:r w:rsidRPr="00B565C5">
        <w:rPr>
          <w:color w:val="auto"/>
          <w:sz w:val="44"/>
          <w:szCs w:val="44"/>
        </w:rPr>
        <w:t>Supply Chain Constraints</w:t>
      </w:r>
      <w:r w:rsidRPr="00B565C5" w:rsidDel="00B565C5">
        <w:rPr>
          <w:color w:val="auto"/>
          <w:sz w:val="44"/>
          <w:szCs w:val="44"/>
        </w:rPr>
        <w:t xml:space="preserve"> </w:t>
      </w:r>
      <w:r w:rsidR="00172564" w:rsidRPr="00626C0F">
        <w:rPr>
          <w:color w:val="auto"/>
          <w:sz w:val="44"/>
          <w:szCs w:val="44"/>
        </w:rPr>
        <w:t>Grading Guide</w:t>
      </w:r>
    </w:p>
    <w:p w:rsidR="00172564" w:rsidRPr="00626C0F" w:rsidRDefault="00172564" w:rsidP="00172564">
      <w:pPr>
        <w:tabs>
          <w:tab w:val="left" w:pos="4320"/>
        </w:tabs>
        <w:ind w:left="4320"/>
        <w:rPr>
          <w:color w:val="auto"/>
        </w:rPr>
      </w:pPr>
    </w:p>
    <w:p w:rsidR="00172564" w:rsidRPr="00626C0F" w:rsidRDefault="00626C0F" w:rsidP="00172564">
      <w:pPr>
        <w:ind w:left="1980"/>
        <w:rPr>
          <w:b/>
          <w:color w:val="auto"/>
          <w:sz w:val="24"/>
        </w:rPr>
      </w:pPr>
      <w:r w:rsidRPr="00626C0F">
        <w:rPr>
          <w:b/>
          <w:color w:val="auto"/>
          <w:sz w:val="24"/>
        </w:rPr>
        <w:t>ISCOM/370</w:t>
      </w:r>
      <w:r w:rsidR="00172564" w:rsidRPr="00626C0F">
        <w:rPr>
          <w:b/>
          <w:color w:val="auto"/>
          <w:sz w:val="24"/>
        </w:rPr>
        <w:t xml:space="preserve"> Version </w:t>
      </w:r>
      <w:r w:rsidRPr="00626C0F">
        <w:rPr>
          <w:b/>
          <w:color w:val="auto"/>
          <w:sz w:val="24"/>
        </w:rPr>
        <w:t>5</w:t>
      </w:r>
    </w:p>
    <w:p w:rsidR="00172564" w:rsidRPr="00626C0F" w:rsidRDefault="00626C0F" w:rsidP="00172564">
      <w:pPr>
        <w:ind w:left="1980"/>
        <w:rPr>
          <w:color w:val="auto"/>
          <w:sz w:val="24"/>
        </w:rPr>
      </w:pPr>
      <w:r w:rsidRPr="00626C0F">
        <w:rPr>
          <w:color w:val="auto"/>
          <w:sz w:val="24"/>
        </w:rPr>
        <w:t>Strategic Supply Chain Management</w:t>
      </w:r>
    </w:p>
    <w:p w:rsidR="00172564" w:rsidRPr="00626C0F" w:rsidRDefault="00172564" w:rsidP="00172564">
      <w:pPr>
        <w:pStyle w:val="NoSpacing"/>
      </w:pPr>
    </w:p>
    <w:p w:rsidR="00172564" w:rsidRPr="00626C0F" w:rsidRDefault="00172564" w:rsidP="00172564">
      <w:pPr>
        <w:pStyle w:val="NoSpacing"/>
      </w:pPr>
    </w:p>
    <w:p w:rsidR="00172564" w:rsidRPr="00626C0F" w:rsidRDefault="00172564" w:rsidP="00172564">
      <w:pPr>
        <w:pStyle w:val="NoSpacing"/>
      </w:pPr>
    </w:p>
    <w:p w:rsidR="00172564" w:rsidRPr="00626C0F" w:rsidRDefault="00172564" w:rsidP="00172564">
      <w:pPr>
        <w:pStyle w:val="NoSpacing"/>
      </w:pPr>
    </w:p>
    <w:p w:rsidR="00172564" w:rsidRPr="00626C0F" w:rsidRDefault="00172564" w:rsidP="00172564">
      <w:pPr>
        <w:pStyle w:val="NoSpacing"/>
      </w:pPr>
    </w:p>
    <w:p w:rsidR="00172564" w:rsidRPr="00626C0F" w:rsidRDefault="00172564" w:rsidP="00172564">
      <w:pPr>
        <w:pStyle w:val="NoSpacing"/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pStyle w:val="NoSpacing"/>
        <w:rPr>
          <w:b/>
        </w:rPr>
      </w:pPr>
    </w:p>
    <w:p w:rsidR="00172564" w:rsidRPr="00626C0F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color w:val="auto"/>
          <w:sz w:val="16"/>
          <w:szCs w:val="16"/>
        </w:rPr>
      </w:pPr>
      <w:r w:rsidRPr="00626C0F">
        <w:rPr>
          <w:b/>
          <w:i/>
          <w:color w:val="auto"/>
          <w:sz w:val="16"/>
          <w:szCs w:val="16"/>
        </w:rPr>
        <w:t>Copyright</w:t>
      </w:r>
    </w:p>
    <w:p w:rsidR="00172564" w:rsidRPr="00626C0F" w:rsidRDefault="00172564" w:rsidP="00172564">
      <w:pPr>
        <w:tabs>
          <w:tab w:val="left" w:pos="-4320"/>
          <w:tab w:val="left" w:pos="0"/>
        </w:tabs>
        <w:spacing w:after="120"/>
        <w:rPr>
          <w:color w:val="auto"/>
          <w:sz w:val="16"/>
          <w:szCs w:val="16"/>
        </w:rPr>
      </w:pPr>
      <w:r w:rsidRPr="00626C0F">
        <w:rPr>
          <w:color w:val="auto"/>
          <w:sz w:val="16"/>
          <w:szCs w:val="16"/>
        </w:rPr>
        <w:t xml:space="preserve">Copyright © </w:t>
      </w:r>
      <w:r w:rsidR="00626C0F" w:rsidRPr="00626C0F">
        <w:rPr>
          <w:color w:val="auto"/>
          <w:sz w:val="16"/>
          <w:szCs w:val="16"/>
        </w:rPr>
        <w:t>2017</w:t>
      </w:r>
      <w:r w:rsidRPr="00626C0F">
        <w:rPr>
          <w:color w:val="auto"/>
          <w:sz w:val="16"/>
          <w:szCs w:val="16"/>
        </w:rPr>
        <w:t xml:space="preserve"> by University of Phoenix. All rights reserved.</w:t>
      </w:r>
    </w:p>
    <w:p w:rsidR="00172564" w:rsidRPr="00626C0F" w:rsidRDefault="00172564" w:rsidP="00172564">
      <w:pPr>
        <w:tabs>
          <w:tab w:val="left" w:pos="-4320"/>
          <w:tab w:val="left" w:pos="0"/>
        </w:tabs>
        <w:spacing w:after="120"/>
        <w:rPr>
          <w:color w:val="auto"/>
          <w:sz w:val="16"/>
          <w:szCs w:val="16"/>
        </w:rPr>
      </w:pPr>
      <w:r w:rsidRPr="00626C0F">
        <w:rPr>
          <w:color w:val="auto"/>
          <w:sz w:val="16"/>
          <w:szCs w:val="16"/>
        </w:rPr>
        <w:t>University of Phoenix® is a registered trademark of Apollo Group, Inc. in the United States and/or other countries.</w:t>
      </w:r>
    </w:p>
    <w:p w:rsidR="00172564" w:rsidRPr="00626C0F" w:rsidRDefault="00172564" w:rsidP="00172564">
      <w:pPr>
        <w:tabs>
          <w:tab w:val="left" w:pos="-4320"/>
          <w:tab w:val="left" w:pos="0"/>
        </w:tabs>
        <w:spacing w:after="120"/>
        <w:rPr>
          <w:color w:val="auto"/>
          <w:sz w:val="16"/>
          <w:szCs w:val="16"/>
        </w:rPr>
      </w:pPr>
      <w:r w:rsidRPr="00626C0F">
        <w:rPr>
          <w:color w:val="auto"/>
          <w:sz w:val="16"/>
          <w:szCs w:val="16"/>
        </w:rPr>
        <w:t>Microsoft®, Windows®, and Windows NT® are registered trademarks of Microsoft Corporation in the United States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626C0F" w:rsidRDefault="00172564" w:rsidP="00172564">
      <w:pPr>
        <w:tabs>
          <w:tab w:val="left" w:pos="-4320"/>
          <w:tab w:val="left" w:pos="0"/>
        </w:tabs>
        <w:rPr>
          <w:color w:val="auto"/>
          <w:sz w:val="16"/>
          <w:szCs w:val="16"/>
        </w:rPr>
      </w:pPr>
      <w:r w:rsidRPr="00626C0F">
        <w:rPr>
          <w:color w:val="auto"/>
          <w:sz w:val="16"/>
          <w:szCs w:val="16"/>
        </w:rPr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 w:rsidRPr="00626C0F">
        <w:rPr>
          <w:color w:val="auto"/>
        </w:rPr>
        <w:br w:type="page"/>
      </w:r>
      <w:r w:rsidR="00086CA8" w:rsidRPr="00D35E33">
        <w:lastRenderedPageBreak/>
        <w:t xml:space="preserve">Individual Assignment: </w:t>
      </w:r>
      <w:r w:rsidR="00B565C5" w:rsidRPr="00B565C5">
        <w:rPr>
          <w:color w:val="auto"/>
        </w:rPr>
        <w:t>Supply Chain Constraints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626C0F" w:rsidRPr="00626C0F" w:rsidRDefault="00626C0F" w:rsidP="00626C0F">
      <w:pPr>
        <w:tabs>
          <w:tab w:val="left" w:pos="360"/>
        </w:tabs>
        <w:ind w:left="360"/>
        <w:rPr>
          <w:color w:val="auto"/>
        </w:rPr>
      </w:pPr>
      <w:r w:rsidRPr="00626C0F">
        <w:rPr>
          <w:color w:val="auto"/>
        </w:rPr>
        <w:t xml:space="preserve">Upon completion of this assignment, students will have an understanding of how supply and demand impacts the supply chain.  Students will be able to determine how factors such as </w:t>
      </w:r>
      <w:r w:rsidR="00035FDB">
        <w:rPr>
          <w:color w:val="auto"/>
        </w:rPr>
        <w:t>sales and operations planning</w:t>
      </w:r>
      <w:r w:rsidR="00ED19C6">
        <w:rPr>
          <w:color w:val="auto"/>
        </w:rPr>
        <w:t>,</w:t>
      </w:r>
      <w:r w:rsidRPr="00626C0F">
        <w:rPr>
          <w:color w:val="auto"/>
        </w:rPr>
        <w:t xml:space="preserve"> and risk can play a strategic role in supply chain</w:t>
      </w:r>
      <w:r w:rsidR="00035FDB">
        <w:rPr>
          <w:color w:val="auto"/>
        </w:rPr>
        <w:t>.  Students will be asked to think strategically about not only improving supply chain performance, but also dealing with constraints that may occur affecting supply chain performance.</w:t>
      </w:r>
      <w:r w:rsidRPr="00626C0F">
        <w:rPr>
          <w:color w:val="auto"/>
        </w:rPr>
        <w:t xml:space="preserve"> </w:t>
      </w:r>
    </w:p>
    <w:p w:rsidR="00A8085D" w:rsidRPr="00463A3D" w:rsidRDefault="00A8085D" w:rsidP="00D35E33">
      <w:pPr>
        <w:pStyle w:val="UPhxBodyText2"/>
        <w:spacing w:before="0" w:after="0"/>
        <w:ind w:left="0"/>
      </w:pP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626C0F" w:rsidRPr="00590613" w:rsidTr="00BD2BA2">
        <w:trPr>
          <w:trHeight w:val="631"/>
          <w:jc w:val="center"/>
        </w:trPr>
        <w:tc>
          <w:tcPr>
            <w:tcW w:w="0" w:type="auto"/>
          </w:tcPr>
          <w:p w:rsidR="00626C0F" w:rsidRPr="008076CE" w:rsidRDefault="00A116FF" w:rsidP="00ED19C6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student c</w:t>
            </w:r>
            <w:r w:rsidR="00626C0F" w:rsidRPr="00626C0F">
              <w:rPr>
                <w:color w:val="auto"/>
              </w:rPr>
              <w:t>ho</w:t>
            </w:r>
            <w:r>
              <w:rPr>
                <w:color w:val="auto"/>
              </w:rPr>
              <w:t>o</w:t>
            </w:r>
            <w:r w:rsidR="00626C0F" w:rsidRPr="00626C0F">
              <w:rPr>
                <w:color w:val="auto"/>
              </w:rPr>
              <w:t>se</w:t>
            </w:r>
            <w:r>
              <w:rPr>
                <w:color w:val="auto"/>
              </w:rPr>
              <w:t>s</w:t>
            </w:r>
            <w:r w:rsidR="00626C0F" w:rsidRPr="00626C0F">
              <w:rPr>
                <w:bCs/>
                <w:iCs/>
                <w:color w:val="auto"/>
              </w:rPr>
              <w:t xml:space="preserve"> a different company than the ones chosen for the previous assignments in Week 1 and 2 </w:t>
            </w:r>
            <w:r w:rsidR="00ED19C6" w:rsidRPr="00ED19C6">
              <w:t xml:space="preserve">which may include the company </w:t>
            </w:r>
            <w:r w:rsidR="00ED19C6">
              <w:t>they</w:t>
            </w:r>
            <w:r w:rsidR="00ED19C6" w:rsidRPr="00ED19C6">
              <w:t xml:space="preserve"> work for</w:t>
            </w:r>
            <w:r w:rsidR="00ED19C6">
              <w:t>.</w:t>
            </w:r>
          </w:p>
        </w:tc>
        <w:tc>
          <w:tcPr>
            <w:tcW w:w="841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626C0F" w:rsidRPr="00BD2BA2" w:rsidRDefault="00626C0F" w:rsidP="00626C0F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4C5951" w:rsidRPr="00590613" w:rsidTr="00BD2BA2">
        <w:trPr>
          <w:trHeight w:val="631"/>
          <w:jc w:val="center"/>
        </w:trPr>
        <w:tc>
          <w:tcPr>
            <w:tcW w:w="0" w:type="auto"/>
          </w:tcPr>
          <w:p w:rsidR="004C5951" w:rsidRDefault="004C5951" w:rsidP="00ED19C6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student selects different companies for the Week 3 assignments.</w:t>
            </w:r>
          </w:p>
        </w:tc>
        <w:tc>
          <w:tcPr>
            <w:tcW w:w="841" w:type="dxa"/>
            <w:vAlign w:val="center"/>
          </w:tcPr>
          <w:p w:rsidR="004C5951" w:rsidRPr="00BD2BA2" w:rsidRDefault="004C5951" w:rsidP="00626C0F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C5951" w:rsidRPr="00BD2BA2" w:rsidRDefault="004C5951" w:rsidP="00626C0F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4C5951" w:rsidRPr="00BD2BA2" w:rsidRDefault="004C5951" w:rsidP="00626C0F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4C5951" w:rsidRPr="00BD2BA2" w:rsidRDefault="004C5951" w:rsidP="00626C0F">
            <w:pPr>
              <w:rPr>
                <w:color w:val="auto"/>
              </w:rPr>
            </w:pPr>
          </w:p>
        </w:tc>
      </w:tr>
      <w:tr w:rsidR="00626C0F" w:rsidRPr="00590613" w:rsidTr="00BD2BA2">
        <w:trPr>
          <w:trHeight w:val="622"/>
          <w:jc w:val="center"/>
        </w:trPr>
        <w:tc>
          <w:tcPr>
            <w:tcW w:w="0" w:type="auto"/>
          </w:tcPr>
          <w:p w:rsidR="00626C0F" w:rsidRPr="008076CE" w:rsidRDefault="00A116FF" w:rsidP="00A116FF">
            <w:pPr>
              <w:tabs>
                <w:tab w:val="left" w:pos="3605"/>
              </w:tabs>
              <w:rPr>
                <w:color w:val="auto"/>
              </w:rPr>
            </w:pPr>
            <w:r w:rsidRPr="00A116FF">
              <w:rPr>
                <w:color w:val="auto"/>
              </w:rPr>
              <w:t xml:space="preserve">The student </w:t>
            </w:r>
            <w:r>
              <w:rPr>
                <w:color w:val="auto"/>
              </w:rPr>
              <w:t>d</w:t>
            </w:r>
            <w:r w:rsidR="00626C0F">
              <w:rPr>
                <w:color w:val="auto"/>
              </w:rPr>
              <w:t>iscusse</w:t>
            </w:r>
            <w:r>
              <w:rPr>
                <w:color w:val="auto"/>
              </w:rPr>
              <w:t>s</w:t>
            </w:r>
            <w:r w:rsidR="00626C0F" w:rsidRPr="008076CE">
              <w:rPr>
                <w:color w:val="auto"/>
              </w:rPr>
              <w:t xml:space="preserve"> </w:t>
            </w:r>
            <w:r w:rsidR="00B565C5" w:rsidRPr="00B565C5">
              <w:rPr>
                <w:color w:val="auto"/>
              </w:rPr>
              <w:t>how the company responds to predictable variability and integrates aggregate planning into the supply chain.</w:t>
            </w:r>
          </w:p>
        </w:tc>
        <w:tc>
          <w:tcPr>
            <w:tcW w:w="841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626C0F" w:rsidRPr="00BD2BA2" w:rsidRDefault="00626C0F" w:rsidP="00626C0F">
            <w:pPr>
              <w:rPr>
                <w:color w:val="auto"/>
              </w:rPr>
            </w:pPr>
          </w:p>
        </w:tc>
      </w:tr>
      <w:tr w:rsidR="00626C0F" w:rsidRPr="00590613" w:rsidTr="00BD2BA2">
        <w:trPr>
          <w:trHeight w:val="537"/>
          <w:jc w:val="center"/>
        </w:trPr>
        <w:tc>
          <w:tcPr>
            <w:tcW w:w="0" w:type="auto"/>
          </w:tcPr>
          <w:p w:rsidR="00626C0F" w:rsidRPr="008076CE" w:rsidRDefault="00A116FF" w:rsidP="00B565C5">
            <w:pPr>
              <w:rPr>
                <w:color w:val="auto"/>
              </w:rPr>
            </w:pPr>
            <w:r w:rsidRPr="00A116FF">
              <w:rPr>
                <w:color w:val="auto"/>
              </w:rPr>
              <w:t xml:space="preserve">The student </w:t>
            </w:r>
            <w:r>
              <w:rPr>
                <w:color w:val="auto"/>
              </w:rPr>
              <w:t>describes</w:t>
            </w:r>
            <w:r w:rsidR="00626C0F" w:rsidRPr="008076CE">
              <w:rPr>
                <w:color w:val="auto"/>
              </w:rPr>
              <w:t xml:space="preserve"> how supply is managed at </w:t>
            </w:r>
            <w:r w:rsidR="00626C0F">
              <w:rPr>
                <w:color w:val="auto"/>
              </w:rPr>
              <w:t xml:space="preserve">the selected </w:t>
            </w:r>
            <w:r w:rsidR="00626C0F" w:rsidRPr="008076CE">
              <w:rPr>
                <w:color w:val="auto"/>
              </w:rPr>
              <w:t>company.</w:t>
            </w:r>
          </w:p>
        </w:tc>
        <w:tc>
          <w:tcPr>
            <w:tcW w:w="841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626C0F" w:rsidRPr="00BD2BA2" w:rsidRDefault="00626C0F" w:rsidP="00626C0F">
            <w:pPr>
              <w:rPr>
                <w:color w:val="auto"/>
              </w:rPr>
            </w:pPr>
          </w:p>
        </w:tc>
      </w:tr>
      <w:tr w:rsidR="00B565C5" w:rsidRPr="00590613" w:rsidTr="00BD2BA2">
        <w:trPr>
          <w:trHeight w:val="537"/>
          <w:jc w:val="center"/>
        </w:trPr>
        <w:tc>
          <w:tcPr>
            <w:tcW w:w="0" w:type="auto"/>
          </w:tcPr>
          <w:p w:rsidR="00B565C5" w:rsidRDefault="00A116FF" w:rsidP="00A116FF">
            <w:pPr>
              <w:rPr>
                <w:color w:val="auto"/>
              </w:rPr>
            </w:pPr>
            <w:r w:rsidRPr="00A116FF">
              <w:rPr>
                <w:color w:val="auto"/>
              </w:rPr>
              <w:t xml:space="preserve">The student </w:t>
            </w:r>
            <w:r>
              <w:rPr>
                <w:color w:val="auto"/>
              </w:rPr>
              <w:t>d</w:t>
            </w:r>
            <w:r w:rsidR="00B565C5" w:rsidRPr="00B565C5">
              <w:rPr>
                <w:color w:val="auto"/>
              </w:rPr>
              <w:t>escribe</w:t>
            </w:r>
            <w:r>
              <w:rPr>
                <w:color w:val="auto"/>
              </w:rPr>
              <w:t>s</w:t>
            </w:r>
            <w:r w:rsidR="00B565C5" w:rsidRPr="00B565C5">
              <w:rPr>
                <w:color w:val="auto"/>
              </w:rPr>
              <w:t xml:space="preserve"> how demand is determined at the selected company.</w:t>
            </w:r>
          </w:p>
        </w:tc>
        <w:tc>
          <w:tcPr>
            <w:tcW w:w="841" w:type="dxa"/>
            <w:vAlign w:val="center"/>
          </w:tcPr>
          <w:p w:rsidR="00B565C5" w:rsidRPr="00BD2BA2" w:rsidRDefault="00B565C5" w:rsidP="00626C0F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565C5" w:rsidRPr="00BD2BA2" w:rsidRDefault="00B565C5" w:rsidP="00626C0F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B565C5" w:rsidRPr="00BD2BA2" w:rsidRDefault="00B565C5" w:rsidP="00626C0F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B565C5" w:rsidRPr="00BD2BA2" w:rsidRDefault="00B565C5" w:rsidP="00626C0F">
            <w:pPr>
              <w:rPr>
                <w:color w:val="auto"/>
              </w:rPr>
            </w:pPr>
          </w:p>
        </w:tc>
      </w:tr>
      <w:tr w:rsidR="00626C0F" w:rsidRPr="00590613" w:rsidTr="00BD2BA2">
        <w:trPr>
          <w:trHeight w:val="537"/>
          <w:jc w:val="center"/>
        </w:trPr>
        <w:tc>
          <w:tcPr>
            <w:tcW w:w="0" w:type="auto"/>
          </w:tcPr>
          <w:p w:rsidR="00626C0F" w:rsidRPr="00B565C5" w:rsidRDefault="00A116FF" w:rsidP="00A116FF">
            <w:pPr>
              <w:tabs>
                <w:tab w:val="left" w:pos="3605"/>
              </w:tabs>
              <w:rPr>
                <w:color w:val="auto"/>
              </w:rPr>
            </w:pPr>
            <w:r w:rsidRPr="00A116FF">
              <w:rPr>
                <w:color w:val="auto"/>
              </w:rPr>
              <w:t xml:space="preserve">The student </w:t>
            </w:r>
            <w:r>
              <w:rPr>
                <w:color w:val="auto"/>
              </w:rPr>
              <w:t>e</w:t>
            </w:r>
            <w:r w:rsidR="00B565C5" w:rsidRPr="00B565C5">
              <w:rPr>
                <w:color w:val="auto"/>
              </w:rPr>
              <w:t>xplain</w:t>
            </w:r>
            <w:r>
              <w:rPr>
                <w:color w:val="auto"/>
              </w:rPr>
              <w:t>s</w:t>
            </w:r>
            <w:r w:rsidR="00B565C5" w:rsidRPr="00B565C5">
              <w:rPr>
                <w:color w:val="auto"/>
              </w:rPr>
              <w:t xml:space="preserve"> how the sales and operations plan of the selected company affects its supply chain performance and maximizes the company’s profitability. </w:t>
            </w:r>
          </w:p>
        </w:tc>
        <w:tc>
          <w:tcPr>
            <w:tcW w:w="841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626C0F" w:rsidRPr="00BD2BA2" w:rsidRDefault="00626C0F" w:rsidP="00626C0F">
            <w:pPr>
              <w:rPr>
                <w:color w:val="auto"/>
              </w:rPr>
            </w:pPr>
          </w:p>
        </w:tc>
      </w:tr>
      <w:tr w:rsidR="00626C0F" w:rsidRPr="00590613" w:rsidTr="00BD2BA2">
        <w:trPr>
          <w:trHeight w:val="537"/>
          <w:jc w:val="center"/>
        </w:trPr>
        <w:tc>
          <w:tcPr>
            <w:tcW w:w="0" w:type="auto"/>
          </w:tcPr>
          <w:p w:rsidR="00626C0F" w:rsidRPr="00B565C5" w:rsidRDefault="00A116FF" w:rsidP="00626C0F">
            <w:pPr>
              <w:tabs>
                <w:tab w:val="left" w:pos="3605"/>
              </w:tabs>
              <w:rPr>
                <w:color w:val="auto"/>
              </w:rPr>
            </w:pPr>
            <w:r w:rsidRPr="00A116FF">
              <w:rPr>
                <w:color w:val="auto"/>
              </w:rPr>
              <w:t xml:space="preserve">The student </w:t>
            </w:r>
            <w:r>
              <w:rPr>
                <w:color w:val="auto"/>
              </w:rPr>
              <w:t>a</w:t>
            </w:r>
            <w:r w:rsidR="00B565C5" w:rsidRPr="00B565C5">
              <w:rPr>
                <w:color w:val="auto"/>
              </w:rPr>
              <w:t>ssess</w:t>
            </w:r>
            <w:r>
              <w:rPr>
                <w:color w:val="auto"/>
              </w:rPr>
              <w:t>es</w:t>
            </w:r>
            <w:r w:rsidR="00B565C5" w:rsidRPr="00B565C5">
              <w:rPr>
                <w:color w:val="auto"/>
              </w:rPr>
              <w:t xml:space="preserve"> the effect of risk management processes on supply chain constraints.</w:t>
            </w:r>
          </w:p>
        </w:tc>
        <w:tc>
          <w:tcPr>
            <w:tcW w:w="841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626C0F" w:rsidRPr="00BD2BA2" w:rsidRDefault="00626C0F" w:rsidP="00626C0F">
            <w:pPr>
              <w:rPr>
                <w:color w:val="auto"/>
              </w:rPr>
            </w:pPr>
          </w:p>
        </w:tc>
      </w:tr>
      <w:tr w:rsidR="00B565C5" w:rsidRPr="00590613" w:rsidTr="00BD2BA2">
        <w:trPr>
          <w:trHeight w:val="537"/>
          <w:jc w:val="center"/>
        </w:trPr>
        <w:tc>
          <w:tcPr>
            <w:tcW w:w="0" w:type="auto"/>
          </w:tcPr>
          <w:p w:rsidR="00B565C5" w:rsidRPr="00B565C5" w:rsidRDefault="00A116FF" w:rsidP="00A116FF">
            <w:pPr>
              <w:tabs>
                <w:tab w:val="left" w:pos="3605"/>
              </w:tabs>
              <w:rPr>
                <w:color w:val="auto"/>
              </w:rPr>
            </w:pPr>
            <w:r w:rsidRPr="00A116FF">
              <w:rPr>
                <w:color w:val="auto"/>
              </w:rPr>
              <w:t xml:space="preserve">The student </w:t>
            </w:r>
            <w:r>
              <w:rPr>
                <w:color w:val="auto"/>
              </w:rPr>
              <w:t>e</w:t>
            </w:r>
            <w:r w:rsidR="00B565C5" w:rsidRPr="00B565C5">
              <w:rPr>
                <w:color w:val="auto"/>
              </w:rPr>
              <w:t>valuate</w:t>
            </w:r>
            <w:r>
              <w:rPr>
                <w:color w:val="auto"/>
              </w:rPr>
              <w:t>s</w:t>
            </w:r>
            <w:r w:rsidR="00B565C5" w:rsidRPr="00B565C5">
              <w:rPr>
                <w:color w:val="auto"/>
              </w:rPr>
              <w:t xml:space="preserve"> strategies that </w:t>
            </w:r>
            <w:r w:rsidR="00B565C5">
              <w:rPr>
                <w:color w:val="auto"/>
              </w:rPr>
              <w:t>the selected</w:t>
            </w:r>
            <w:r w:rsidR="00B565C5" w:rsidRPr="00B565C5">
              <w:rPr>
                <w:color w:val="auto"/>
              </w:rPr>
              <w:t xml:space="preserve"> company can employ to improve overall supply chain performance and overcome potential constraints.</w:t>
            </w:r>
          </w:p>
        </w:tc>
        <w:tc>
          <w:tcPr>
            <w:tcW w:w="841" w:type="dxa"/>
            <w:vAlign w:val="center"/>
          </w:tcPr>
          <w:p w:rsidR="00B565C5" w:rsidRPr="00BD2BA2" w:rsidRDefault="00B565C5" w:rsidP="00626C0F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565C5" w:rsidRPr="00BD2BA2" w:rsidRDefault="00B565C5" w:rsidP="00626C0F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B565C5" w:rsidRPr="00BD2BA2" w:rsidRDefault="00B565C5" w:rsidP="00626C0F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B565C5" w:rsidRPr="00BD2BA2" w:rsidRDefault="00B565C5" w:rsidP="00626C0F">
            <w:pPr>
              <w:rPr>
                <w:color w:val="auto"/>
              </w:rPr>
            </w:pPr>
          </w:p>
        </w:tc>
      </w:tr>
      <w:tr w:rsidR="00626C0F" w:rsidRPr="00590613" w:rsidTr="00BD2BA2">
        <w:trPr>
          <w:trHeight w:val="537"/>
          <w:jc w:val="center"/>
        </w:trPr>
        <w:tc>
          <w:tcPr>
            <w:tcW w:w="0" w:type="auto"/>
          </w:tcPr>
          <w:p w:rsidR="00626C0F" w:rsidRPr="00626C0F" w:rsidRDefault="00A116FF" w:rsidP="00A116FF">
            <w:pPr>
              <w:rPr>
                <w:color w:val="auto"/>
              </w:rPr>
            </w:pPr>
            <w:r w:rsidRPr="00A116FF">
              <w:rPr>
                <w:color w:val="auto"/>
              </w:rPr>
              <w:t xml:space="preserve">The student </w:t>
            </w:r>
            <w:r>
              <w:rPr>
                <w:color w:val="auto"/>
              </w:rPr>
              <w:t>i</w:t>
            </w:r>
            <w:r w:rsidR="00B565C5" w:rsidRPr="00B565C5">
              <w:rPr>
                <w:color w:val="auto"/>
              </w:rPr>
              <w:t>nclude</w:t>
            </w:r>
            <w:r>
              <w:rPr>
                <w:color w:val="auto"/>
              </w:rPr>
              <w:t>s</w:t>
            </w:r>
            <w:r w:rsidR="00B565C5" w:rsidRPr="00B565C5">
              <w:rPr>
                <w:color w:val="auto"/>
              </w:rPr>
              <w:t xml:space="preserve"> examples and cited resources in support of </w:t>
            </w:r>
            <w:r w:rsidR="00B565C5">
              <w:rPr>
                <w:color w:val="auto"/>
              </w:rPr>
              <w:t>student’s</w:t>
            </w:r>
            <w:r w:rsidR="00B565C5" w:rsidRPr="00B565C5">
              <w:rPr>
                <w:color w:val="auto"/>
              </w:rPr>
              <w:t xml:space="preserve"> argument.</w:t>
            </w:r>
          </w:p>
        </w:tc>
        <w:tc>
          <w:tcPr>
            <w:tcW w:w="841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626C0F" w:rsidRPr="00BD2BA2" w:rsidRDefault="00626C0F" w:rsidP="00626C0F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626C0F" w:rsidRPr="00BD2BA2" w:rsidRDefault="00626C0F" w:rsidP="00626C0F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BD2BA2" w:rsidRDefault="003015A0" w:rsidP="00904CCE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BD2BA2">
              <w:rPr>
                <w:color w:val="auto"/>
              </w:rPr>
              <w:t xml:space="preserve">The paper is </w:t>
            </w:r>
            <w:r w:rsidR="00626C0F" w:rsidRPr="00626C0F">
              <w:rPr>
                <w:color w:val="auto"/>
              </w:rPr>
              <w:t>1,050</w:t>
            </w:r>
            <w:r w:rsidR="2D005D51" w:rsidRPr="00626C0F">
              <w:rPr>
                <w:color w:val="auto"/>
              </w:rPr>
              <w:t xml:space="preserve"> to </w:t>
            </w:r>
            <w:r w:rsidR="00626C0F" w:rsidRPr="00626C0F">
              <w:rPr>
                <w:rFonts w:eastAsia="Arial"/>
                <w:color w:val="auto"/>
              </w:rPr>
              <w:t>1,</w:t>
            </w:r>
            <w:r w:rsidR="00904CCE">
              <w:rPr>
                <w:rFonts w:eastAsia="Arial"/>
                <w:color w:val="auto"/>
              </w:rPr>
              <w:t>575</w:t>
            </w:r>
            <w:r w:rsidR="00695BF5" w:rsidRPr="00BD2BA2">
              <w:rPr>
                <w:rFonts w:eastAsia="Arial"/>
                <w:color w:val="auto"/>
              </w:rPr>
              <w:t xml:space="preserve"> </w:t>
            </w:r>
            <w:r w:rsidRPr="00BD2BA2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Default="003015A0" w:rsidP="00D35E33">
            <w:pPr>
              <w:jc w:val="right"/>
              <w:rPr>
                <w:color w:val="auto"/>
              </w:rPr>
            </w:pPr>
          </w:p>
          <w:p w:rsidR="00DA4B1A" w:rsidRDefault="00DA4B1A" w:rsidP="00DA4B1A">
            <w:pPr>
              <w:rPr>
                <w:color w:val="auto"/>
              </w:rPr>
            </w:pPr>
          </w:p>
          <w:p w:rsidR="0049747D" w:rsidRPr="00BD2BA2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203"/>
          <w:jc w:val="center"/>
        </w:trPr>
        <w:tc>
          <w:tcPr>
            <w:tcW w:w="0" w:type="auto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626C0F" w:rsidRDefault="00ED19C6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10.5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626C0F" w:rsidRDefault="00086CA8" w:rsidP="00ED19C6">
            <w:pPr>
              <w:jc w:val="center"/>
              <w:rPr>
                <w:color w:val="auto"/>
              </w:rPr>
            </w:pPr>
            <w:r w:rsidRPr="00626C0F">
              <w:rPr>
                <w:color w:val="auto"/>
              </w:rPr>
              <w:t>#</w:t>
            </w:r>
            <w:r w:rsidR="003015A0" w:rsidRPr="00626C0F">
              <w:rPr>
                <w:color w:val="auto"/>
              </w:rPr>
              <w:t>/</w:t>
            </w:r>
            <w:r w:rsidR="00ED19C6" w:rsidRPr="00626C0F">
              <w:rPr>
                <w:color w:val="auto"/>
              </w:rPr>
              <w:t>1</w:t>
            </w:r>
            <w:r w:rsidR="00ED19C6">
              <w:rPr>
                <w:color w:val="auto"/>
              </w:rPr>
              <w:t>0.5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</w:tbl>
    <w:p w:rsidR="00124E29" w:rsidRDefault="00124E29" w:rsidP="00D82D17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1"/>
        <w:gridCol w:w="810"/>
        <w:gridCol w:w="1170"/>
        <w:gridCol w:w="909"/>
        <w:gridCol w:w="2868"/>
      </w:tblGrid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124E29">
              <w:rPr>
                <w:b/>
                <w:bCs/>
                <w:iCs/>
              </w:rPr>
              <w:t>Writing Guidelines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</w:pPr>
            <w:r w:rsidRPr="00124E29">
              <w:t>Met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color w:val="auto"/>
              </w:rPr>
            </w:pPr>
            <w:r w:rsidRPr="00124E29">
              <w:rPr>
                <w:color w:val="auto"/>
              </w:rPr>
              <w:t>Partially Met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color w:val="auto"/>
              </w:rPr>
            </w:pPr>
            <w:r w:rsidRPr="00124E29">
              <w:rPr>
                <w:color w:val="auto"/>
              </w:rPr>
              <w:t>Not Met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</w:pPr>
            <w:r w:rsidRPr="00124E29">
              <w:t>Comments:</w:t>
            </w: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124E29">
              <w:rPr>
                <w:b/>
                <w:bCs/>
                <w:iCs/>
              </w:rPr>
              <w:t>Organization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tone is appropriate to the content and assignment.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introduction provides a sufficient background on the topic and previews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Paragraph transitions are present, logical, and maintain the flow throughout the paper.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conclusion is logical, flows from the body of the paper, and reviews the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124E29">
              <w:rPr>
                <w:b/>
                <w:bCs/>
                <w:iCs/>
              </w:rPr>
              <w:t>Mechanics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Intellectual property is recognized with in-text citations and a reference page.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Sentences are complete, clear, and concise.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Rules of grammar and usage are followed including spelling and punctuation.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  <w:r w:rsidRPr="00124E29">
              <w:rPr>
                <w:b/>
                <w:color w:val="auto"/>
              </w:rPr>
              <w:t>Total Available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  <w:r w:rsidRPr="00124E29">
              <w:rPr>
                <w:b/>
                <w:color w:val="auto"/>
              </w:rPr>
              <w:t>Total Earned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626C0F" w:rsidTr="00A96B87">
        <w:trPr>
          <w:trHeight w:val="199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626C0F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626C0F">
              <w:rPr>
                <w:b/>
                <w:bCs/>
                <w:iCs/>
                <w:color w:val="auto"/>
              </w:rPr>
              <w:t> 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626C0F" w:rsidRDefault="00124E29" w:rsidP="00124E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124E29" w:rsidRPr="00626C0F" w:rsidRDefault="00626C0F" w:rsidP="00124E2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626C0F">
              <w:rPr>
                <w:color w:val="auto"/>
              </w:rPr>
              <w:t>4</w:t>
            </w:r>
            <w:r w:rsidR="00ED19C6">
              <w:rPr>
                <w:color w:val="auto"/>
              </w:rPr>
              <w:t>.5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124E29" w:rsidRPr="00626C0F" w:rsidRDefault="00124E29" w:rsidP="00626C0F">
            <w:pPr>
              <w:jc w:val="center"/>
              <w:rPr>
                <w:color w:val="auto"/>
              </w:rPr>
            </w:pPr>
            <w:r w:rsidRPr="00626C0F">
              <w:rPr>
                <w:color w:val="auto"/>
              </w:rPr>
              <w:t>#/</w:t>
            </w:r>
            <w:r w:rsidR="00626C0F" w:rsidRPr="00626C0F">
              <w:rPr>
                <w:color w:val="auto"/>
              </w:rPr>
              <w:t>4</w:t>
            </w:r>
            <w:r w:rsidR="00ED19C6">
              <w:rPr>
                <w:color w:val="auto"/>
              </w:rPr>
              <w:t>.5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626C0F" w:rsidRDefault="00124E29" w:rsidP="00124E29">
            <w:pPr>
              <w:jc w:val="center"/>
              <w:rPr>
                <w:color w:val="auto"/>
              </w:rPr>
            </w:pPr>
          </w:p>
        </w:tc>
      </w:tr>
    </w:tbl>
    <w:p w:rsidR="00124E29" w:rsidRPr="00626C0F" w:rsidRDefault="00124E29" w:rsidP="00124E29">
      <w:pPr>
        <w:rPr>
          <w:color w:val="auto"/>
        </w:rPr>
      </w:pPr>
    </w:p>
    <w:p w:rsidR="00124E29" w:rsidRPr="00626C0F" w:rsidRDefault="00124E29" w:rsidP="00124E29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626C0F" w:rsidRPr="00626C0F" w:rsidTr="00B454DB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124E29" w:rsidRPr="00626C0F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626C0F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124E29" w:rsidRPr="00626C0F" w:rsidRDefault="00124E29" w:rsidP="00124E29">
            <w:pPr>
              <w:jc w:val="center"/>
              <w:rPr>
                <w:b/>
                <w:color w:val="auto"/>
              </w:rPr>
            </w:pPr>
            <w:r w:rsidRPr="00626C0F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124E29" w:rsidRPr="00626C0F" w:rsidRDefault="00626C0F" w:rsidP="00124E29">
            <w:pPr>
              <w:jc w:val="center"/>
              <w:rPr>
                <w:b/>
                <w:color w:val="auto"/>
              </w:rPr>
            </w:pPr>
            <w:r w:rsidRPr="00626C0F">
              <w:rPr>
                <w:b/>
                <w:color w:val="auto"/>
              </w:rPr>
              <w:t>15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124E29" w:rsidRPr="00626C0F" w:rsidRDefault="00124E29" w:rsidP="00626C0F">
            <w:pPr>
              <w:jc w:val="center"/>
              <w:rPr>
                <w:b/>
                <w:color w:val="auto"/>
              </w:rPr>
            </w:pPr>
            <w:r w:rsidRPr="00626C0F">
              <w:rPr>
                <w:b/>
                <w:color w:val="auto"/>
              </w:rPr>
              <w:t>#/</w:t>
            </w:r>
            <w:r w:rsidR="00626C0F" w:rsidRPr="00626C0F">
              <w:rPr>
                <w:b/>
                <w:color w:val="auto"/>
              </w:rPr>
              <w:t>15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124E29" w:rsidRPr="00626C0F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1764BB" w:rsidTr="00B454DB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124E29" w:rsidRDefault="00124E29" w:rsidP="00B454DB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124E29" w:rsidRDefault="00124E29" w:rsidP="00B454DB">
            <w:pPr>
              <w:tabs>
                <w:tab w:val="left" w:pos="3605"/>
              </w:tabs>
            </w:pPr>
          </w:p>
          <w:p w:rsidR="00124E29" w:rsidRDefault="00124E29" w:rsidP="00B454DB">
            <w:pPr>
              <w:tabs>
                <w:tab w:val="left" w:pos="3605"/>
              </w:tabs>
            </w:pPr>
          </w:p>
          <w:p w:rsidR="00124E29" w:rsidRPr="001764BB" w:rsidRDefault="00124E29" w:rsidP="00B454DB">
            <w:pPr>
              <w:tabs>
                <w:tab w:val="left" w:pos="3605"/>
              </w:tabs>
            </w:pPr>
          </w:p>
        </w:tc>
      </w:tr>
    </w:tbl>
    <w:p w:rsidR="00124E29" w:rsidRDefault="00124E29" w:rsidP="00124E29"/>
    <w:p w:rsidR="00124E29" w:rsidRDefault="00124E29" w:rsidP="00124E29"/>
    <w:p w:rsidR="00124E29" w:rsidRPr="00D82D17" w:rsidRDefault="00124E29" w:rsidP="00124E29"/>
    <w:p w:rsidR="00124E29" w:rsidRDefault="00124E29" w:rsidP="00124E29"/>
    <w:p w:rsidR="0049747D" w:rsidRPr="00D82D17" w:rsidRDefault="0049747D" w:rsidP="00D82D17"/>
    <w:sectPr w:rsidR="0049747D" w:rsidRPr="00D82D17" w:rsidSect="00172564">
      <w:headerReference w:type="default" r:id="rId13"/>
      <w:footerReference w:type="default" r:id="rId14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3E" w:rsidRDefault="00553E3E">
      <w:r>
        <w:separator/>
      </w:r>
    </w:p>
  </w:endnote>
  <w:endnote w:type="continuationSeparator" w:id="0">
    <w:p w:rsidR="00553E3E" w:rsidRDefault="0055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3E" w:rsidRDefault="00553E3E">
      <w:r>
        <w:separator/>
      </w:r>
    </w:p>
  </w:footnote>
  <w:footnote w:type="continuationSeparator" w:id="0">
    <w:p w:rsidR="00553E3E" w:rsidRDefault="00553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26"/>
      <w:gridCol w:w="423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B565C5" w:rsidP="00645B6F">
          <w:pPr>
            <w:rPr>
              <w:sz w:val="16"/>
              <w:szCs w:val="16"/>
            </w:rPr>
          </w:pPr>
          <w:r w:rsidRPr="00B565C5">
            <w:rPr>
              <w:sz w:val="16"/>
              <w:szCs w:val="16"/>
            </w:rPr>
            <w:t xml:space="preserve">Supply Chain Constraints </w:t>
          </w:r>
          <w:r w:rsidR="003015A0" w:rsidRPr="00BD2BA2">
            <w:rPr>
              <w:sz w:val="16"/>
              <w:szCs w:val="16"/>
            </w:rPr>
            <w:t>Grading Guide</w:t>
          </w:r>
        </w:p>
        <w:p w:rsidR="003015A0" w:rsidRPr="00BD2BA2" w:rsidRDefault="00626C0F" w:rsidP="00626C0F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ISCOM/370</w:t>
          </w:r>
          <w:r w:rsidR="003015A0" w:rsidRPr="00BD2BA2">
            <w:rPr>
              <w:b/>
              <w:bCs/>
              <w:sz w:val="16"/>
              <w:szCs w:val="16"/>
            </w:rPr>
            <w:t xml:space="preserve"> Version </w:t>
          </w:r>
          <w:r>
            <w:rPr>
              <w:b/>
              <w:bCs/>
              <w:sz w:val="16"/>
              <w:szCs w:val="16"/>
            </w:rPr>
            <w:t>5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3015A0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722627">
            <w:rPr>
              <w:rStyle w:val="PageNumber"/>
              <w:noProof/>
              <w:color w:val="auto"/>
              <w:sz w:val="16"/>
              <w:szCs w:val="16"/>
            </w:rPr>
            <w:t>3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44E4"/>
    <w:rsid w:val="000060E5"/>
    <w:rsid w:val="00035FDB"/>
    <w:rsid w:val="00036029"/>
    <w:rsid w:val="000563DA"/>
    <w:rsid w:val="00057003"/>
    <w:rsid w:val="00060131"/>
    <w:rsid w:val="00077A4E"/>
    <w:rsid w:val="00086C1D"/>
    <w:rsid w:val="00086CA8"/>
    <w:rsid w:val="00094851"/>
    <w:rsid w:val="00094FAE"/>
    <w:rsid w:val="000B2CB9"/>
    <w:rsid w:val="00124E29"/>
    <w:rsid w:val="0013348F"/>
    <w:rsid w:val="00161489"/>
    <w:rsid w:val="00172564"/>
    <w:rsid w:val="00182B66"/>
    <w:rsid w:val="001A1F1F"/>
    <w:rsid w:val="001A2721"/>
    <w:rsid w:val="001B548F"/>
    <w:rsid w:val="001E3666"/>
    <w:rsid w:val="001E7F56"/>
    <w:rsid w:val="00211F51"/>
    <w:rsid w:val="002144C7"/>
    <w:rsid w:val="00270FCA"/>
    <w:rsid w:val="00271B05"/>
    <w:rsid w:val="00271B7E"/>
    <w:rsid w:val="00291C43"/>
    <w:rsid w:val="002955C0"/>
    <w:rsid w:val="002D0FB7"/>
    <w:rsid w:val="003015A0"/>
    <w:rsid w:val="0032133E"/>
    <w:rsid w:val="00337060"/>
    <w:rsid w:val="003B1CAD"/>
    <w:rsid w:val="003E12D0"/>
    <w:rsid w:val="0040332E"/>
    <w:rsid w:val="00407109"/>
    <w:rsid w:val="00412AF9"/>
    <w:rsid w:val="00416578"/>
    <w:rsid w:val="00422EA1"/>
    <w:rsid w:val="0043613B"/>
    <w:rsid w:val="00461DF8"/>
    <w:rsid w:val="00463A3D"/>
    <w:rsid w:val="004648C0"/>
    <w:rsid w:val="00481B49"/>
    <w:rsid w:val="004871AD"/>
    <w:rsid w:val="00494D2D"/>
    <w:rsid w:val="0049747D"/>
    <w:rsid w:val="004C5951"/>
    <w:rsid w:val="004D12E2"/>
    <w:rsid w:val="004D6163"/>
    <w:rsid w:val="004D6A49"/>
    <w:rsid w:val="004F667B"/>
    <w:rsid w:val="005245E2"/>
    <w:rsid w:val="00551275"/>
    <w:rsid w:val="00553E3E"/>
    <w:rsid w:val="00567DC0"/>
    <w:rsid w:val="00585286"/>
    <w:rsid w:val="00590613"/>
    <w:rsid w:val="005931B8"/>
    <w:rsid w:val="005D561A"/>
    <w:rsid w:val="005D6656"/>
    <w:rsid w:val="005E29F3"/>
    <w:rsid w:val="005F0C59"/>
    <w:rsid w:val="005F1ED4"/>
    <w:rsid w:val="005F6242"/>
    <w:rsid w:val="0061656B"/>
    <w:rsid w:val="00626C0F"/>
    <w:rsid w:val="00645B6F"/>
    <w:rsid w:val="006822AB"/>
    <w:rsid w:val="0068522F"/>
    <w:rsid w:val="00695BF5"/>
    <w:rsid w:val="006C2DD4"/>
    <w:rsid w:val="006C47F8"/>
    <w:rsid w:val="006D594B"/>
    <w:rsid w:val="006E100F"/>
    <w:rsid w:val="006F0B89"/>
    <w:rsid w:val="006F1340"/>
    <w:rsid w:val="00722627"/>
    <w:rsid w:val="0072789D"/>
    <w:rsid w:val="00727FED"/>
    <w:rsid w:val="00745C01"/>
    <w:rsid w:val="00754386"/>
    <w:rsid w:val="00797EBE"/>
    <w:rsid w:val="007C47BE"/>
    <w:rsid w:val="007C6B9A"/>
    <w:rsid w:val="007D1F98"/>
    <w:rsid w:val="007D786D"/>
    <w:rsid w:val="007E0E85"/>
    <w:rsid w:val="007F0F4A"/>
    <w:rsid w:val="00814F18"/>
    <w:rsid w:val="008234EA"/>
    <w:rsid w:val="008258B2"/>
    <w:rsid w:val="00857CDC"/>
    <w:rsid w:val="008644F3"/>
    <w:rsid w:val="00875A02"/>
    <w:rsid w:val="00882033"/>
    <w:rsid w:val="00895D09"/>
    <w:rsid w:val="008B325B"/>
    <w:rsid w:val="008C5486"/>
    <w:rsid w:val="00904CCE"/>
    <w:rsid w:val="0093036F"/>
    <w:rsid w:val="00935BA0"/>
    <w:rsid w:val="009656E1"/>
    <w:rsid w:val="009961E5"/>
    <w:rsid w:val="009A7811"/>
    <w:rsid w:val="009B4D21"/>
    <w:rsid w:val="009B7972"/>
    <w:rsid w:val="009C10BC"/>
    <w:rsid w:val="009E1597"/>
    <w:rsid w:val="00A116FF"/>
    <w:rsid w:val="00A1387A"/>
    <w:rsid w:val="00A6557A"/>
    <w:rsid w:val="00A66014"/>
    <w:rsid w:val="00A71C08"/>
    <w:rsid w:val="00A8085D"/>
    <w:rsid w:val="00A833CD"/>
    <w:rsid w:val="00A96B87"/>
    <w:rsid w:val="00AC05B0"/>
    <w:rsid w:val="00AE1915"/>
    <w:rsid w:val="00AF72FA"/>
    <w:rsid w:val="00B02E4E"/>
    <w:rsid w:val="00B17743"/>
    <w:rsid w:val="00B41633"/>
    <w:rsid w:val="00B454DB"/>
    <w:rsid w:val="00B53670"/>
    <w:rsid w:val="00B565C5"/>
    <w:rsid w:val="00B859A5"/>
    <w:rsid w:val="00B92F64"/>
    <w:rsid w:val="00BD2BA2"/>
    <w:rsid w:val="00BD3069"/>
    <w:rsid w:val="00BD5ADE"/>
    <w:rsid w:val="00BF2177"/>
    <w:rsid w:val="00BF7614"/>
    <w:rsid w:val="00C37AF4"/>
    <w:rsid w:val="00C5498D"/>
    <w:rsid w:val="00C86EAD"/>
    <w:rsid w:val="00C9659B"/>
    <w:rsid w:val="00CB3908"/>
    <w:rsid w:val="00CD62E7"/>
    <w:rsid w:val="00CD6EB8"/>
    <w:rsid w:val="00CE1A87"/>
    <w:rsid w:val="00CE3A5E"/>
    <w:rsid w:val="00CF1A8D"/>
    <w:rsid w:val="00D23E71"/>
    <w:rsid w:val="00D35E33"/>
    <w:rsid w:val="00D61A15"/>
    <w:rsid w:val="00D82D17"/>
    <w:rsid w:val="00DA4B1A"/>
    <w:rsid w:val="00DD0750"/>
    <w:rsid w:val="00DE5720"/>
    <w:rsid w:val="00DF2152"/>
    <w:rsid w:val="00E22F06"/>
    <w:rsid w:val="00E33393"/>
    <w:rsid w:val="00E35528"/>
    <w:rsid w:val="00E50ABD"/>
    <w:rsid w:val="00E56629"/>
    <w:rsid w:val="00E9188E"/>
    <w:rsid w:val="00EB0AC2"/>
    <w:rsid w:val="00ED19C6"/>
    <w:rsid w:val="00ED7C34"/>
    <w:rsid w:val="00EE3162"/>
    <w:rsid w:val="00EE7177"/>
    <w:rsid w:val="00EF6854"/>
    <w:rsid w:val="00F01759"/>
    <w:rsid w:val="00F03D2A"/>
    <w:rsid w:val="00F04A35"/>
    <w:rsid w:val="00F07D09"/>
    <w:rsid w:val="00F12078"/>
    <w:rsid w:val="00F266A9"/>
    <w:rsid w:val="00F64976"/>
    <w:rsid w:val="00F82592"/>
    <w:rsid w:val="00F955BB"/>
    <w:rsid w:val="00FA04A7"/>
    <w:rsid w:val="00FD512B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8448F-9A06-4322-803E-ECE03A6A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8D041B-52AD-4B20-8F8C-E547EDCC0A35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6EB41B3-8626-40F1-90E2-767CAA48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Pennie Maholland</cp:lastModifiedBy>
  <cp:revision>5</cp:revision>
  <cp:lastPrinted>2007-05-08T20:15:00Z</cp:lastPrinted>
  <dcterms:created xsi:type="dcterms:W3CDTF">2017-04-17T17:58:00Z</dcterms:created>
  <dcterms:modified xsi:type="dcterms:W3CDTF">2017-04-18T20:08:00Z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